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2024年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12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249.7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亿元，增长5.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color w:val="auto"/>
          <w:kern w:val="0"/>
          <w:sz w:val="32"/>
          <w:szCs w:val="32"/>
          <w:lang w:val="en-US" w:eastAsia="zh-CN"/>
        </w:rPr>
        <w:t>169.3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color w:val="auto"/>
          <w:kern w:val="0"/>
          <w:sz w:val="32"/>
          <w:szCs w:val="32"/>
          <w:lang w:val="en-US" w:eastAsia="zh-CN"/>
        </w:rPr>
        <w:t>0.1%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65.8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24.2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>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19.6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481.2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</w:t>
      </w:r>
    </w:p>
    <w:p>
      <w:pPr>
        <w:spacing w:line="600" w:lineRule="exact"/>
        <w:ind w:firstLine="640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一般公共服务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37.4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92.4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45.8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72.4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5、城乡社区支出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72.6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7.7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87D1A"/>
    <w:rsid w:val="00BA5262"/>
    <w:rsid w:val="00C9671E"/>
    <w:rsid w:val="00D93099"/>
    <w:rsid w:val="00DF54E2"/>
    <w:rsid w:val="07121725"/>
    <w:rsid w:val="08C31232"/>
    <w:rsid w:val="094A3FD0"/>
    <w:rsid w:val="09B330DA"/>
    <w:rsid w:val="11990345"/>
    <w:rsid w:val="191A696F"/>
    <w:rsid w:val="1D5E0C18"/>
    <w:rsid w:val="351714DA"/>
    <w:rsid w:val="36AB3616"/>
    <w:rsid w:val="37582B65"/>
    <w:rsid w:val="3A0A44F5"/>
    <w:rsid w:val="421C0227"/>
    <w:rsid w:val="51690229"/>
    <w:rsid w:val="51762E8A"/>
    <w:rsid w:val="577454D4"/>
    <w:rsid w:val="5A611C12"/>
    <w:rsid w:val="5ABE48B3"/>
    <w:rsid w:val="5B116EC8"/>
    <w:rsid w:val="63331D5B"/>
    <w:rsid w:val="64ED0CB3"/>
    <w:rsid w:val="65B70E02"/>
    <w:rsid w:val="6EBB2898"/>
    <w:rsid w:val="7074592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7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2025-01-14T08:38:23Z</dcterms:modified>
  <dc:title>2022年11月份全省财政收支运行情况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