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eastAsia="方正小标宋简体"/>
          <w:sz w:val="44"/>
          <w:szCs w:val="44"/>
          <w:lang w:eastAsia="zh-CN"/>
        </w:rPr>
      </w:pPr>
      <w:r>
        <w:rPr>
          <w:rFonts w:hint="eastAsia" w:ascii="方正小标宋简体" w:eastAsia="方正小标宋简体"/>
          <w:sz w:val="44"/>
          <w:szCs w:val="44"/>
        </w:rPr>
        <w:t>威海市市直机关会议费管理办法</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楷体_GB2312" w:hAnsi="楷体_GB2312" w:eastAsia="楷体_GB2312" w:cs="楷体_GB2312"/>
          <w:lang w:val="en-US" w:eastAsia="zh-CN"/>
        </w:rPr>
      </w:pPr>
      <w:r>
        <w:rPr>
          <w:rFonts w:hint="eastAsia" w:ascii="楷体_GB2312" w:hAnsi="楷体_GB2312" w:eastAsia="楷体_GB2312" w:cs="楷体_GB2312"/>
          <w:lang w:val="en-US" w:eastAsia="zh-CN"/>
        </w:rPr>
        <w:t>（修订征求意见稿）</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eastAsia="黑体"/>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eastAsia="黑体"/>
        </w:rPr>
      </w:pPr>
      <w:r>
        <w:rPr>
          <w:rFonts w:hint="eastAsia" w:ascii="黑体" w:eastAsia="黑体"/>
        </w:rPr>
        <w:t>第一章　总则</w:t>
      </w:r>
    </w:p>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rPr>
        <w:t>第一条</w:t>
      </w:r>
      <w:r>
        <w:rPr>
          <w:rFonts w:hint="eastAsia"/>
        </w:rPr>
        <w:t>　</w:t>
      </w:r>
      <w:r>
        <w:rPr>
          <w:rFonts w:hint="eastAsia" w:ascii="仿宋_GB2312" w:hAnsi="仿宋_GB2312" w:eastAsia="仿宋_GB2312" w:cs="仿宋_GB2312"/>
          <w:lang w:eastAsia="zh-CN"/>
        </w:rPr>
        <w:t>为了深入贯彻习近平总书记关于加强党的作风建设的重要论述，认真落实中央八项规定精神以及党政机关习惯过紧日子有关要求，</w:t>
      </w:r>
      <w:r>
        <w:rPr>
          <w:rFonts w:hint="eastAsia" w:ascii="仿宋_GB2312" w:hAnsi="仿宋_GB2312" w:eastAsia="仿宋_GB2312" w:cs="仿宋_GB2312"/>
        </w:rPr>
        <w:t>进一步规范</w:t>
      </w:r>
      <w:r>
        <w:rPr>
          <w:rFonts w:hint="eastAsia" w:ascii="仿宋_GB2312" w:hAnsi="仿宋_GB2312" w:eastAsia="仿宋_GB2312" w:cs="仿宋_GB2312"/>
          <w:lang w:eastAsia="zh-CN"/>
        </w:rPr>
        <w:t>和加强</w:t>
      </w:r>
      <w:r>
        <w:rPr>
          <w:rFonts w:hint="eastAsia" w:ascii="仿宋_GB2312" w:hAnsi="仿宋_GB2312" w:eastAsia="仿宋_GB2312" w:cs="仿宋_GB2312"/>
        </w:rPr>
        <w:t>市直机关会议费管理，提高会议效率和质量，节约会议经费开支，</w:t>
      </w:r>
      <w:r>
        <w:rPr>
          <w:rFonts w:hint="eastAsia" w:ascii="仿宋_GB2312" w:hAnsi="仿宋_GB2312" w:eastAsia="仿宋_GB2312" w:cs="仿宋_GB2312"/>
          <w:lang w:eastAsia="zh-CN"/>
        </w:rPr>
        <w:t>根据《党政机关厉行节约反对浪费条例》及有关规定</w:t>
      </w:r>
      <w:r>
        <w:rPr>
          <w:rFonts w:hint="eastAsia" w:ascii="仿宋_GB2312" w:hAnsi="仿宋_GB2312" w:eastAsia="仿宋_GB2312" w:cs="仿宋_GB2312"/>
          <w:highlight w:val="none"/>
          <w:lang w:eastAsia="zh-CN"/>
        </w:rPr>
        <w:t>，参照</w:t>
      </w:r>
      <w:r>
        <w:rPr>
          <w:rFonts w:hint="eastAsia" w:ascii="仿宋_GB2312" w:hAnsi="仿宋_GB2312" w:eastAsia="仿宋_GB2312" w:cs="仿宋_GB2312"/>
          <w:highlight w:val="none"/>
        </w:rPr>
        <w:t>《山东省省直机关会议费管理办法》（</w:t>
      </w:r>
      <w:r>
        <w:rPr>
          <w:rFonts w:hint="eastAsia" w:ascii="仿宋_GB2312" w:hAnsi="仿宋_GB2312" w:eastAsia="仿宋_GB2312" w:cs="仿宋_GB2312"/>
          <w:highlight w:val="none"/>
          <w:lang w:eastAsia="zh-CN"/>
        </w:rPr>
        <w:t>鲁财行</w:t>
      </w:r>
      <w:r>
        <w:rPr>
          <w:rFonts w:hint="eastAsia" w:ascii="仿宋_GB2312" w:hAnsi="仿宋_GB2312" w:eastAsia="仿宋_GB2312" w:cs="仿宋_GB2312"/>
          <w:highlight w:val="none"/>
        </w:rPr>
        <w:t>〔20</w:t>
      </w:r>
      <w:r>
        <w:rPr>
          <w:rFonts w:hint="eastAsia" w:ascii="仿宋_GB2312" w:hAnsi="仿宋_GB2312" w:eastAsia="仿宋_GB2312" w:cs="仿宋_GB2312"/>
          <w:highlight w:val="none"/>
          <w:lang w:val="en-US" w:eastAsia="zh-CN"/>
        </w:rPr>
        <w:t>25</w:t>
      </w: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9</w:t>
      </w:r>
      <w:r>
        <w:rPr>
          <w:rFonts w:hint="eastAsia" w:ascii="仿宋_GB2312" w:hAnsi="仿宋_GB2312" w:eastAsia="仿宋_GB2312" w:cs="仿宋_GB2312"/>
          <w:highlight w:val="none"/>
        </w:rPr>
        <w:t>号），结合本市实际，制定本办法。</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ascii="仿宋_GB2312"/>
        </w:rPr>
      </w:pPr>
      <w:r>
        <w:rPr>
          <w:rFonts w:hint="eastAsia" w:ascii="楷体_GB2312" w:hAnsi="楷体_GB2312" w:eastAsia="楷体_GB2312" w:cs="楷体_GB2312"/>
        </w:rPr>
        <w:t>第二条</w:t>
      </w:r>
      <w:r>
        <w:rPr>
          <w:rFonts w:hint="eastAsia"/>
        </w:rPr>
        <w:t>　本办法</w:t>
      </w:r>
      <w:r>
        <w:rPr>
          <w:rFonts w:hint="eastAsia"/>
          <w:lang w:eastAsia="zh-CN"/>
        </w:rPr>
        <w:t>所称市直机关是指</w:t>
      </w:r>
      <w:r>
        <w:rPr>
          <w:rFonts w:hint="eastAsia"/>
        </w:rPr>
        <w:t>市级党的机关、人大机关、行政机关、</w:t>
      </w:r>
      <w:r>
        <w:rPr>
          <w:rFonts w:hint="eastAsia" w:ascii="仿宋_GB2312"/>
        </w:rPr>
        <w:t>政协机关、</w:t>
      </w:r>
      <w:r>
        <w:rPr>
          <w:rFonts w:hint="eastAsia" w:ascii="仿宋_GB2312"/>
          <w:lang w:eastAsia="zh-CN"/>
        </w:rPr>
        <w:t>监察机关、</w:t>
      </w:r>
      <w:r>
        <w:rPr>
          <w:rFonts w:hint="eastAsia" w:ascii="仿宋_GB2312"/>
        </w:rPr>
        <w:t>审判机关、检察机关以及工会、共青团、妇联等人民团体，各民主党派、工商联和参照公务员法管理的事业单位（以下简称各单位）。</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r>
        <w:rPr>
          <w:rFonts w:hint="eastAsia" w:ascii="楷体_GB2312" w:hAnsi="楷体_GB2312" w:eastAsia="楷体_GB2312" w:cs="楷体_GB2312"/>
        </w:rPr>
        <w:t>第三条</w:t>
      </w:r>
      <w:r>
        <w:rPr>
          <w:rFonts w:hint="eastAsia"/>
        </w:rPr>
        <w:t>　各单位召开会议应当实行分类管理、分级审批。坚持厉行节约、反对浪费、规范简朴、务实高效的原则，严格控制会议数量</w:t>
      </w:r>
      <w:r>
        <w:rPr>
          <w:rFonts w:hint="eastAsia"/>
          <w:highlight w:val="none"/>
          <w:lang w:eastAsia="zh-CN"/>
        </w:rPr>
        <w:t>、会期和规模</w:t>
      </w:r>
      <w:r>
        <w:rPr>
          <w:rFonts w:hint="eastAsia"/>
          <w:highlight w:val="none"/>
        </w:rPr>
        <w:t>，</w:t>
      </w:r>
      <w:r>
        <w:rPr>
          <w:rFonts w:hint="eastAsia"/>
        </w:rPr>
        <w:t>规范会议费管理。</w:t>
      </w:r>
      <w:r>
        <w:rPr>
          <w:rFonts w:hint="eastAsia"/>
          <w:highlight w:val="none"/>
        </w:rPr>
        <w:t>应当将会议费纳入预算，</w:t>
      </w:r>
      <w:r>
        <w:rPr>
          <w:rFonts w:hint="eastAsia"/>
        </w:rPr>
        <w:t>严格控制会议费预算规模，</w:t>
      </w:r>
      <w:r>
        <w:rPr>
          <w:rFonts w:hint="eastAsia"/>
          <w:lang w:eastAsia="zh-CN"/>
        </w:rPr>
        <w:t>不得无预算、超预算安排会议费支出</w:t>
      </w:r>
      <w:r>
        <w:rPr>
          <w:rFonts w:hint="eastAsia"/>
        </w:rPr>
        <w:t>。</w:t>
      </w:r>
    </w:p>
    <w:p>
      <w:pPr>
        <w:keepNext w:val="0"/>
        <w:keepLines w:val="0"/>
        <w:pageBreakBefore w:val="0"/>
        <w:widowControl w:val="0"/>
        <w:kinsoku/>
        <w:wordWrap/>
        <w:overflowPunct/>
        <w:topLinePunct w:val="0"/>
        <w:autoSpaceDE/>
        <w:autoSpaceDN/>
        <w:bidi w:val="0"/>
        <w:adjustRightInd/>
        <w:snapToGrid/>
        <w:spacing w:line="64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eastAsia="黑体"/>
          <w:lang w:eastAsia="zh-CN"/>
        </w:rPr>
      </w:pPr>
      <w:r>
        <w:rPr>
          <w:rFonts w:hint="eastAsia" w:ascii="黑体" w:eastAsia="黑体"/>
        </w:rPr>
        <w:t>第二章</w:t>
      </w:r>
      <w:r>
        <w:rPr>
          <w:rFonts w:ascii="黑体" w:eastAsia="黑体"/>
        </w:rPr>
        <w:t xml:space="preserve">  会议</w:t>
      </w:r>
      <w:r>
        <w:rPr>
          <w:rFonts w:hint="eastAsia" w:ascii="黑体" w:eastAsia="黑体"/>
          <w:lang w:eastAsia="zh-CN"/>
        </w:rPr>
        <w:t>管理</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eastAsia="仿宋_GB2312"/>
          <w:lang w:eastAsia="zh-CN"/>
        </w:rPr>
      </w:pPr>
      <w:r>
        <w:rPr>
          <w:rFonts w:hint="eastAsia" w:ascii="楷体_GB2312" w:hAnsi="楷体_GB2312" w:eastAsia="楷体_GB2312" w:cs="楷体_GB2312"/>
        </w:rPr>
        <w:t>第四条</w:t>
      </w:r>
      <w:r>
        <w:rPr>
          <w:rFonts w:hint="eastAsia"/>
        </w:rPr>
        <w:t>　</w:t>
      </w:r>
      <w:r>
        <w:rPr>
          <w:rFonts w:hint="eastAsia"/>
          <w:lang w:eastAsia="zh-CN"/>
        </w:rPr>
        <w:t>市直机关</w:t>
      </w:r>
      <w:r>
        <w:rPr>
          <w:rFonts w:hint="eastAsia"/>
        </w:rPr>
        <w:t>会议分类</w:t>
      </w:r>
      <w:r>
        <w:rPr>
          <w:rFonts w:hint="eastAsia"/>
          <w:lang w:eastAsia="zh-CN"/>
        </w:rPr>
        <w:t>如下：</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r>
        <w:rPr>
          <w:rFonts w:hint="eastAsia"/>
        </w:rPr>
        <w:t>一类会议。市党代表大会</w:t>
      </w:r>
      <w:r>
        <w:rPr>
          <w:rFonts w:hint="eastAsia"/>
          <w:highlight w:val="none"/>
        </w:rPr>
        <w:t>、市党代表会议、市</w:t>
      </w:r>
      <w:r>
        <w:rPr>
          <w:rFonts w:hint="eastAsia"/>
        </w:rPr>
        <w:t>委全体会议，市委工作会议、区市委书记会议，</w:t>
      </w:r>
      <w:r>
        <w:rPr>
          <w:rFonts w:hint="eastAsia"/>
          <w:lang w:eastAsia="zh-CN"/>
        </w:rPr>
        <w:t>市人民代表大会会议、市人大常委会会议，市政府全体会议、</w:t>
      </w:r>
      <w:r>
        <w:rPr>
          <w:rFonts w:hint="eastAsia"/>
        </w:rPr>
        <w:t>市政府工作会议，市政协</w:t>
      </w:r>
      <w:r>
        <w:rPr>
          <w:rFonts w:hint="eastAsia"/>
          <w:lang w:eastAsia="zh-CN"/>
        </w:rPr>
        <w:t>全体会议、市政协常委会会议，</w:t>
      </w:r>
      <w:r>
        <w:rPr>
          <w:rFonts w:hint="eastAsia"/>
        </w:rPr>
        <w:t>市纪委</w:t>
      </w:r>
      <w:r>
        <w:rPr>
          <w:rFonts w:hint="eastAsia"/>
          <w:lang w:eastAsia="zh-CN"/>
        </w:rPr>
        <w:t>全体会议</w:t>
      </w:r>
      <w:r>
        <w:rPr>
          <w:rFonts w:hint="eastAsia"/>
        </w:rPr>
        <w:t>，市级各民主党派、工商联和人民团体代表大会，全市劳模表彰大会。</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r>
        <w:rPr>
          <w:rFonts w:hint="eastAsia"/>
        </w:rPr>
        <w:t>二类会议。以市委、市政府名义召开的、区市（含国家级开发区，下同）党政负责</w:t>
      </w:r>
      <w:r>
        <w:rPr>
          <w:rFonts w:hint="eastAsia"/>
          <w:lang w:eastAsia="zh-CN"/>
        </w:rPr>
        <w:t>同志或市直部门负责同志</w:t>
      </w:r>
      <w:r>
        <w:rPr>
          <w:rFonts w:hint="eastAsia"/>
        </w:rPr>
        <w:t>参加的、除一类会议之外的</w:t>
      </w:r>
      <w:r>
        <w:rPr>
          <w:rFonts w:hint="eastAsia"/>
          <w:lang w:eastAsia="zh-CN"/>
        </w:rPr>
        <w:t>全市性重要</w:t>
      </w:r>
      <w:r>
        <w:rPr>
          <w:rFonts w:hint="eastAsia"/>
        </w:rPr>
        <w:t>工作会议；市委、市政府确定召开的其他重要会议。</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r>
        <w:rPr>
          <w:rFonts w:hint="eastAsia"/>
        </w:rPr>
        <w:t>三类会议。</w:t>
      </w:r>
      <w:r>
        <w:rPr>
          <w:rFonts w:hint="eastAsia"/>
          <w:lang w:eastAsia="zh-CN"/>
        </w:rPr>
        <w:t>除一、二类会议以外的其他会议。以会议形式组织、履行会议审批程序的小型专题会、座谈会、评审会等（以下简称小型三类会议）纳入三类会议管理</w:t>
      </w:r>
      <w:r>
        <w:rPr>
          <w:rFonts w:hint="eastAsia"/>
        </w:rPr>
        <w:t>。</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pPr>
      <w:r>
        <w:rPr>
          <w:rFonts w:hint="eastAsia" w:ascii="楷体_GB2312" w:hAnsi="楷体_GB2312" w:eastAsia="楷体_GB2312" w:cs="楷体_GB2312"/>
        </w:rPr>
        <w:t>第五条</w:t>
      </w:r>
      <w:r>
        <w:rPr>
          <w:rFonts w:hint="eastAsia"/>
        </w:rPr>
        <w:t>　</w:t>
      </w:r>
      <w:r>
        <w:rPr>
          <w:rFonts w:hint="eastAsia"/>
          <w:lang w:eastAsia="zh-CN"/>
        </w:rPr>
        <w:t>市直机关会议按以下程序和要求进行审批：</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b w:val="0"/>
          <w:bCs w:val="0"/>
        </w:rPr>
      </w:pPr>
      <w:r>
        <w:rPr>
          <w:rFonts w:hint="eastAsia"/>
          <w:b w:val="0"/>
          <w:bCs w:val="0"/>
          <w:lang w:eastAsia="zh-CN"/>
        </w:rPr>
        <w:t>（一）</w:t>
      </w:r>
      <w:r>
        <w:rPr>
          <w:b w:val="0"/>
          <w:bCs w:val="0"/>
        </w:rPr>
        <w:t>一、二类会议</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rPr>
      </w:pPr>
      <w:r>
        <w:rPr>
          <w:rFonts w:hint="eastAsia"/>
        </w:rPr>
        <w:t>以市委名义召开的一、二类会议，需经市委常委</w:t>
      </w:r>
      <w:r>
        <w:rPr>
          <w:rFonts w:hint="eastAsia"/>
          <w:lang w:eastAsia="zh-CN"/>
        </w:rPr>
        <w:t>会</w:t>
      </w:r>
      <w:r>
        <w:rPr>
          <w:rFonts w:hint="eastAsia"/>
        </w:rPr>
        <w:t>会议或市委</w:t>
      </w:r>
      <w:r>
        <w:rPr>
          <w:rFonts w:hint="eastAsia"/>
          <w:lang w:eastAsia="zh-CN"/>
        </w:rPr>
        <w:t>主要领导同志</w:t>
      </w:r>
      <w:r>
        <w:rPr>
          <w:rFonts w:hint="eastAsia"/>
        </w:rPr>
        <w:t>批准。</w:t>
      </w:r>
      <w:r>
        <w:rPr>
          <w:rFonts w:hint="eastAsia"/>
          <w:lang w:eastAsia="zh-CN"/>
        </w:rPr>
        <w:t>市人民代表大会会议</w:t>
      </w:r>
      <w:r>
        <w:rPr>
          <w:rFonts w:hint="eastAsia"/>
        </w:rPr>
        <w:t>、市政协</w:t>
      </w:r>
      <w:r>
        <w:rPr>
          <w:rFonts w:hint="eastAsia"/>
          <w:lang w:eastAsia="zh-CN"/>
        </w:rPr>
        <w:t>全体会议</w:t>
      </w:r>
      <w:r>
        <w:rPr>
          <w:rFonts w:hint="eastAsia"/>
        </w:rPr>
        <w:t>及市级各民主党派、工商联和人民团体的代表大会，按照法定程序和时间规定召开，需报市委审批</w:t>
      </w:r>
      <w:r>
        <w:rPr>
          <w:rFonts w:hint="eastAsia"/>
          <w:lang w:eastAsia="zh-CN"/>
        </w:rPr>
        <w:t>。</w:t>
      </w:r>
      <w:r>
        <w:rPr>
          <w:rFonts w:hint="eastAsia"/>
        </w:rPr>
        <w:t>以市政府名义召开的一、二类会议，需经市政府常务会议或市</w:t>
      </w:r>
      <w:r>
        <w:rPr>
          <w:rFonts w:hint="eastAsia"/>
          <w:lang w:eastAsia="zh-CN"/>
        </w:rPr>
        <w:t>政府主要领导同志</w:t>
      </w:r>
      <w:r>
        <w:rPr>
          <w:rFonts w:hint="eastAsia"/>
        </w:rPr>
        <w:t>批准。</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pPr>
      <w:r>
        <w:rPr>
          <w:rFonts w:hint="eastAsia"/>
        </w:rPr>
        <w:t>以上会议，主办</w:t>
      </w:r>
      <w:r>
        <w:rPr>
          <w:rFonts w:hint="eastAsia"/>
          <w:lang w:eastAsia="zh-CN"/>
        </w:rPr>
        <w:t>单位</w:t>
      </w:r>
      <w:r>
        <w:rPr>
          <w:rFonts w:hint="eastAsia"/>
        </w:rPr>
        <w:t>应当提前向会议审批机关提交书面</w:t>
      </w:r>
      <w:r>
        <w:rPr>
          <w:rFonts w:hint="eastAsia"/>
          <w:lang w:eastAsia="zh-CN"/>
        </w:rPr>
        <w:t>申请</w:t>
      </w:r>
      <w:r>
        <w:rPr>
          <w:rFonts w:hint="eastAsia"/>
          <w:highlight w:val="none"/>
        </w:rPr>
        <w:t>，说明开会理由、</w:t>
      </w:r>
      <w:r>
        <w:rPr>
          <w:rFonts w:hint="eastAsia"/>
        </w:rPr>
        <w:t>主要内容、时间地点、参会人数、所需经费</w:t>
      </w:r>
      <w:r>
        <w:rPr>
          <w:rFonts w:hint="eastAsia"/>
          <w:lang w:eastAsia="zh-CN"/>
        </w:rPr>
        <w:t>及来源</w:t>
      </w:r>
      <w:r>
        <w:rPr>
          <w:rFonts w:hint="eastAsia"/>
        </w:rPr>
        <w:t>等。会议</w:t>
      </w:r>
      <w:r>
        <w:rPr>
          <w:rFonts w:hint="eastAsia"/>
          <w:lang w:eastAsia="zh-CN"/>
        </w:rPr>
        <w:t>申请</w:t>
      </w:r>
      <w:r>
        <w:rPr>
          <w:rFonts w:hint="eastAsia"/>
        </w:rPr>
        <w:t>由市委办公室和市政府办公室按</w:t>
      </w:r>
      <w:r>
        <w:rPr>
          <w:rFonts w:hint="eastAsia"/>
          <w:lang w:eastAsia="zh-CN"/>
        </w:rPr>
        <w:t>照</w:t>
      </w:r>
      <w:r>
        <w:rPr>
          <w:rFonts w:hint="eastAsia"/>
        </w:rPr>
        <w:t>分工受理。</w:t>
      </w:r>
    </w:p>
    <w:p>
      <w:pPr>
        <w:keepNext w:val="0"/>
        <w:keepLines w:val="0"/>
        <w:pageBreakBefore w:val="0"/>
        <w:widowControl w:val="0"/>
        <w:numPr>
          <w:ilvl w:val="0"/>
          <w:numId w:val="1"/>
        </w:numPr>
        <w:kinsoku/>
        <w:wordWrap/>
        <w:overflowPunct/>
        <w:topLinePunct w:val="0"/>
        <w:autoSpaceDE/>
        <w:autoSpaceDN/>
        <w:bidi w:val="0"/>
        <w:adjustRightInd/>
        <w:snapToGrid/>
        <w:spacing w:line="640" w:lineRule="exact"/>
        <w:ind w:firstLine="640" w:firstLineChars="200"/>
        <w:textAlignment w:val="auto"/>
        <w:rPr>
          <w:b w:val="0"/>
          <w:bCs w:val="0"/>
        </w:rPr>
      </w:pPr>
      <w:r>
        <w:rPr>
          <w:b w:val="0"/>
          <w:bCs w:val="0"/>
        </w:rPr>
        <w:t>三类会议</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default" w:eastAsia="仿宋_GB2312"/>
          <w:lang w:val="en-US" w:eastAsia="zh-CN"/>
        </w:rPr>
      </w:pPr>
      <w:r>
        <w:rPr>
          <w:rFonts w:hint="eastAsia"/>
          <w:lang w:eastAsia="zh-CN"/>
        </w:rPr>
        <w:t>建立三类会议分类审批制度。其中，各单位申请以市委、市政府或市委办公室、市政府办公室名义召开的会议，需报市委、市政府领导同志批准；各单位组织召开的综合性工作会议需经单位领导办公会议或主要负责同志批准，小型三类会议应经单位分管负责同志批准</w:t>
      </w:r>
      <w:r>
        <w:rPr>
          <w:rFonts w:hint="eastAsia"/>
        </w:rPr>
        <w:t>。</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lang w:val="en-US" w:eastAsia="zh-CN"/>
        </w:rPr>
      </w:pPr>
      <w:r>
        <w:rPr>
          <w:rFonts w:hint="eastAsia" w:ascii="楷体_GB2312" w:hAnsi="楷体_GB2312" w:eastAsia="楷体_GB2312" w:cs="楷体_GB2312"/>
          <w:lang w:eastAsia="zh-CN"/>
        </w:rPr>
        <w:t>第六条</w:t>
      </w:r>
      <w:r>
        <w:rPr>
          <w:rFonts w:hint="eastAsia" w:ascii="楷体_GB2312" w:hAnsi="楷体_GB2312" w:eastAsia="楷体_GB2312" w:cs="楷体_GB2312"/>
          <w:lang w:val="en-US" w:eastAsia="zh-CN"/>
        </w:rPr>
        <w:t xml:space="preserve">  </w:t>
      </w:r>
      <w:r>
        <w:rPr>
          <w:rFonts w:hint="eastAsia"/>
          <w:lang w:val="en-US" w:eastAsia="zh-CN"/>
        </w:rPr>
        <w:t>召开会议严格实行计划管理。</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lang w:eastAsia="zh-CN"/>
        </w:rPr>
      </w:pPr>
      <w:r>
        <w:rPr>
          <w:rFonts w:hint="eastAsia"/>
          <w:lang w:eastAsia="zh-CN"/>
        </w:rPr>
        <w:t>一类、</w:t>
      </w:r>
      <w:r>
        <w:rPr>
          <w:rFonts w:hint="eastAsia"/>
          <w:highlight w:val="none"/>
          <w:lang w:eastAsia="zh-CN"/>
        </w:rPr>
        <w:t>三类</w:t>
      </w:r>
      <w:r>
        <w:rPr>
          <w:rFonts w:hint="eastAsia"/>
          <w:lang w:eastAsia="zh-CN"/>
        </w:rPr>
        <w:t>会议由主办单位编制年度会议计划，包括会议名称、主要内容、时间地点、参会人数、所需经费及列支渠道等，经单位财务部门审核经费情况后，履行单位内部审批程序。</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lang w:eastAsia="zh-CN"/>
        </w:rPr>
      </w:pPr>
      <w:r>
        <w:rPr>
          <w:rFonts w:hint="eastAsia"/>
          <w:lang w:eastAsia="zh-CN"/>
        </w:rPr>
        <w:t>二类会议由市委办公室、市政府办公室按归口实行计划管理，根据各单位会议申报和审批情况编制年度会议计划。</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lang w:eastAsia="zh-CN"/>
        </w:rPr>
      </w:pPr>
      <w:r>
        <w:rPr>
          <w:rFonts w:hint="eastAsia"/>
          <w:lang w:eastAsia="zh-CN"/>
        </w:rPr>
        <w:t>年度中，因工作需要确需临时增开的会议事项，履行审批程序后纳入年度会议计划管理。</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lang w:eastAsia="zh-CN"/>
        </w:rPr>
        <w:t>第七条</w:t>
      </w:r>
      <w:r>
        <w:rPr>
          <w:rFonts w:hint="eastAsia" w:ascii="楷体_GB2312" w:hAnsi="楷体_GB2312" w:eastAsia="楷体_GB2312" w:cs="楷体_GB2312"/>
          <w:lang w:val="en-US" w:eastAsia="zh-CN"/>
        </w:rPr>
        <w:t xml:space="preserve">  </w:t>
      </w:r>
      <w:r>
        <w:rPr>
          <w:rFonts w:hint="eastAsia"/>
          <w:lang w:eastAsia="zh-CN"/>
        </w:rPr>
        <w:t>各单位应当大力压缩会议会期。</w:t>
      </w:r>
      <w:r>
        <w:rPr>
          <w:rFonts w:hint="eastAsia"/>
        </w:rPr>
        <w:t>一类会议按照市委、市政府批准的时间，根据工作需要从严控制；</w:t>
      </w:r>
      <w:r>
        <w:rPr>
          <w:rFonts w:hint="eastAsia"/>
          <w:b w:val="0"/>
          <w:bCs w:val="0"/>
          <w:color w:val="auto"/>
          <w:highlight w:val="none"/>
          <w:lang w:eastAsia="zh-CN"/>
        </w:rPr>
        <w:t>二、三类会议原则上不超过半天，有分组讨论、评审延长等特殊情况不超过</w:t>
      </w:r>
      <w:r>
        <w:rPr>
          <w:rFonts w:hint="eastAsia"/>
          <w:b w:val="0"/>
          <w:bCs w:val="0"/>
          <w:color w:val="auto"/>
          <w:highlight w:val="none"/>
          <w:lang w:val="en-US" w:eastAsia="zh-CN"/>
        </w:rPr>
        <w:t>1天。</w:t>
      </w:r>
      <w:r>
        <w:rPr>
          <w:rFonts w:hint="eastAsia"/>
          <w:b w:val="0"/>
          <w:bCs w:val="0"/>
          <w:color w:val="auto"/>
          <w:highlight w:val="none"/>
        </w:rPr>
        <w:t>会议报到和离开时间合计不超过</w:t>
      </w:r>
      <w:r>
        <w:rPr>
          <w:b w:val="0"/>
          <w:bCs w:val="0"/>
          <w:color w:val="auto"/>
          <w:highlight w:val="none"/>
        </w:rPr>
        <w:t>1天。</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第八条</w:t>
      </w:r>
      <w:r>
        <w:rPr>
          <w:rFonts w:hint="eastAsia" w:ascii="楷体_GB2312" w:hAnsi="楷体_GB2312" w:eastAsia="楷体_GB2312" w:cs="楷体_GB2312"/>
          <w:b w:val="0"/>
          <w:bCs w:val="0"/>
          <w:color w:val="auto"/>
          <w:highlight w:val="none"/>
          <w:lang w:val="en-US" w:eastAsia="zh-CN"/>
        </w:rPr>
        <w:t xml:space="preserve">  </w:t>
      </w:r>
      <w:r>
        <w:rPr>
          <w:rFonts w:hint="eastAsia"/>
          <w:b w:val="0"/>
          <w:bCs w:val="0"/>
          <w:color w:val="auto"/>
          <w:highlight w:val="none"/>
          <w:lang w:val="en-US" w:eastAsia="zh-CN"/>
        </w:rPr>
        <w:t>严格控制</w:t>
      </w:r>
      <w:r>
        <w:rPr>
          <w:rFonts w:hint="eastAsia"/>
          <w:b w:val="0"/>
          <w:bCs w:val="0"/>
          <w:color w:val="auto"/>
          <w:highlight w:val="none"/>
        </w:rPr>
        <w:t>会议</w:t>
      </w:r>
      <w:r>
        <w:rPr>
          <w:rFonts w:hint="eastAsia"/>
          <w:b w:val="0"/>
          <w:bCs w:val="0"/>
          <w:color w:val="auto"/>
          <w:highlight w:val="none"/>
          <w:lang w:eastAsia="zh-CN"/>
        </w:rPr>
        <w:t>数量和频次。非确有必要不召开会议，加强对内容相近、参会人员范围相同会议的统筹，能合并的合并，能精简的精简。已制发文件的工作事项原则上不再专门开会部署。各单位申请以市委、市政府名义召开的二类会议及各单位召开的综合性工作会议原则上每年均不超过</w:t>
      </w:r>
      <w:r>
        <w:rPr>
          <w:rFonts w:hint="eastAsia"/>
          <w:b w:val="0"/>
          <w:bCs w:val="0"/>
          <w:color w:val="auto"/>
          <w:highlight w:val="none"/>
          <w:lang w:val="en-US" w:eastAsia="zh-CN"/>
        </w:rPr>
        <w:t>1次</w:t>
      </w:r>
      <w:r>
        <w:rPr>
          <w:rFonts w:hint="eastAsia"/>
          <w:b w:val="0"/>
          <w:bCs w:val="0"/>
          <w:color w:val="auto"/>
          <w:highlight w:val="none"/>
          <w:lang w:eastAsia="zh-CN"/>
        </w:rPr>
        <w:t>。各单位召开的业务性工作会议等应当精简数量、控制频次。</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第九条</w:t>
      </w:r>
      <w:r>
        <w:rPr>
          <w:rFonts w:hint="eastAsia"/>
          <w:b w:val="0"/>
          <w:bCs w:val="0"/>
          <w:color w:val="auto"/>
          <w:highlight w:val="none"/>
          <w:lang w:val="en-US" w:eastAsia="zh-CN"/>
        </w:rPr>
        <w:t xml:space="preserve">  合理确定会议规格。</w:t>
      </w:r>
      <w:r>
        <w:rPr>
          <w:rFonts w:hint="eastAsia"/>
          <w:b w:val="0"/>
          <w:bCs w:val="0"/>
          <w:color w:val="auto"/>
          <w:highlight w:val="none"/>
          <w:lang w:eastAsia="zh-CN"/>
        </w:rPr>
        <w:t>未经市委主要领导同志批准，不得随意召开直达基层的会议。市直部门工作会议一般不安排镇街以下单位参会。由分管负责同志召集部署的会议，一般不要求下级主要负责同志参会。以部门名义召开的会议，未经市委批准，不得要求区市党委和政府负责同志参会。</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val="en-US" w:eastAsia="zh-CN"/>
        </w:rPr>
        <w:t>第十条</w:t>
      </w:r>
      <w:r>
        <w:rPr>
          <w:rFonts w:hint="eastAsia"/>
          <w:b w:val="0"/>
          <w:bCs w:val="0"/>
          <w:color w:val="auto"/>
          <w:highlight w:val="none"/>
          <w:lang w:val="en-US" w:eastAsia="zh-CN"/>
        </w:rPr>
        <w:t xml:space="preserve">  严格控制会议规模。严控参会人员范围和层级，</w:t>
      </w:r>
      <w:r>
        <w:rPr>
          <w:rFonts w:hint="eastAsia"/>
          <w:b w:val="0"/>
          <w:bCs w:val="0"/>
          <w:color w:val="auto"/>
          <w:highlight w:val="none"/>
          <w:lang w:eastAsia="zh-CN"/>
        </w:rPr>
        <w:t>只安排与会议主题密切相关的单位参加，不搞无关人员参会、陪会。</w:t>
      </w:r>
      <w:r>
        <w:rPr>
          <w:rFonts w:hint="eastAsia" w:ascii="仿宋_GB2312" w:hAnsi="仿宋_GB2312" w:eastAsia="仿宋_GB2312" w:cs="仿宋_GB2312"/>
          <w:b w:val="0"/>
          <w:bCs w:val="0"/>
          <w:color w:val="auto"/>
          <w:highlight w:val="none"/>
        </w:rPr>
        <w:t>一类会议参会人员按照</w:t>
      </w:r>
      <w:r>
        <w:rPr>
          <w:rFonts w:hint="eastAsia" w:ascii="仿宋_GB2312" w:hAnsi="仿宋_GB2312" w:eastAsia="仿宋_GB2312" w:cs="仿宋_GB2312"/>
          <w:b w:val="0"/>
          <w:bCs w:val="0"/>
          <w:color w:val="auto"/>
          <w:highlight w:val="none"/>
          <w:lang w:eastAsia="zh-CN"/>
        </w:rPr>
        <w:t>会议审批文件，根据会议性质和主要内容确定，严格</w:t>
      </w:r>
      <w:r>
        <w:rPr>
          <w:rFonts w:hint="eastAsia" w:ascii="仿宋_GB2312" w:hAnsi="仿宋_GB2312" w:eastAsia="仿宋_GB2312" w:cs="仿宋_GB2312"/>
          <w:b w:val="0"/>
          <w:bCs w:val="0"/>
          <w:color w:val="auto"/>
          <w:highlight w:val="none"/>
        </w:rPr>
        <w:t>限定会议代表和工作人员数量。二类会议参会人员一般不超过200人，其中，工作人员控制在会议代表人数的15%以内。三类会议参会人员一般不超过150人</w:t>
      </w:r>
      <w:r>
        <w:rPr>
          <w:rFonts w:hint="eastAsia" w:ascii="仿宋_GB2312" w:hAnsi="仿宋_GB2312" w:eastAsia="仿宋_GB2312" w:cs="仿宋_GB2312"/>
          <w:b w:val="0"/>
          <w:bCs w:val="0"/>
          <w:color w:val="auto"/>
          <w:highlight w:val="none"/>
          <w:lang w:eastAsia="zh-CN"/>
        </w:rPr>
        <w:t>，小型三类会议参会人员视内容而定，一般不超过</w:t>
      </w:r>
      <w:r>
        <w:rPr>
          <w:rFonts w:hint="eastAsia" w:ascii="仿宋_GB2312" w:hAnsi="仿宋_GB2312" w:eastAsia="仿宋_GB2312" w:cs="仿宋_GB2312"/>
          <w:b w:val="0"/>
          <w:bCs w:val="0"/>
          <w:color w:val="auto"/>
          <w:highlight w:val="none"/>
          <w:lang w:val="en-US" w:eastAsia="zh-CN"/>
        </w:rPr>
        <w:t>50人。</w:t>
      </w:r>
      <w:r>
        <w:rPr>
          <w:rFonts w:hint="eastAsia" w:ascii="仿宋_GB2312" w:hAnsi="仿宋_GB2312" w:eastAsia="仿宋_GB2312" w:cs="仿宋_GB2312"/>
          <w:b w:val="0"/>
          <w:bCs w:val="0"/>
          <w:color w:val="auto"/>
          <w:highlight w:val="none"/>
        </w:rPr>
        <w:t>其中，工作人员控制在会议代表人数的10%以内。</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第十一条</w:t>
      </w:r>
      <w:r>
        <w:rPr>
          <w:rFonts w:hint="eastAsia" w:ascii="楷体_GB2312" w:hAnsi="楷体_GB2312" w:eastAsia="楷体_GB2312" w:cs="楷体_GB2312"/>
          <w:b w:val="0"/>
          <w:bCs w:val="0"/>
          <w:color w:val="auto"/>
          <w:highlight w:val="none"/>
          <w:lang w:val="en-US" w:eastAsia="zh-CN"/>
        </w:rPr>
        <w:t xml:space="preserve">  </w:t>
      </w:r>
      <w:r>
        <w:rPr>
          <w:rFonts w:hint="eastAsia"/>
          <w:b w:val="0"/>
          <w:bCs w:val="0"/>
          <w:color w:val="auto"/>
          <w:highlight w:val="none"/>
          <w:lang w:val="en-US" w:eastAsia="zh-CN"/>
        </w:rPr>
        <w:t>合理选择会议形式。</w:t>
      </w:r>
      <w:r>
        <w:rPr>
          <w:rFonts w:hint="eastAsia"/>
          <w:b w:val="0"/>
          <w:bCs w:val="0"/>
          <w:color w:val="auto"/>
          <w:highlight w:val="none"/>
          <w:lang w:eastAsia="zh-CN"/>
        </w:rPr>
        <w:t>会议召开形式包括线上会议和线下会议（含线上与线下相结合的会议）。其中，线上会议是指采取电视电话、网络视频等方式召开的会议。</w:t>
      </w:r>
      <w:r>
        <w:rPr>
          <w:rFonts w:hint="eastAsia"/>
          <w:b w:val="0"/>
          <w:bCs w:val="0"/>
          <w:color w:val="auto"/>
          <w:highlight w:val="none"/>
        </w:rPr>
        <w:t>各单位召开会议</w:t>
      </w:r>
      <w:r>
        <w:rPr>
          <w:rFonts w:hint="eastAsia"/>
          <w:b w:val="0"/>
          <w:bCs w:val="0"/>
          <w:color w:val="auto"/>
          <w:highlight w:val="none"/>
          <w:lang w:eastAsia="zh-CN"/>
        </w:rPr>
        <w:t>，在符合保密和网络信息安全要求的前提下，能够通过线上会议形式召开的，原则上优先采用线上会议形式召开，提升工作效率，减少行政成本。线上会议应当选择现有已建成的单位内部电视电话会议系统、一体化视频会议系统、山东通视频会议系统以及党政专用电视会议系统等。现有会议系统确实无法保障的，各单位可以结合工作性质、保密要求等，选择其他专用系统、运营商服务系统、第三方软件服务系统等，并通过市场调研、充分议价等方式从严审核，严格控制。</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b w:val="0"/>
          <w:bCs w:val="0"/>
          <w:color w:val="auto"/>
          <w:highlight w:val="none"/>
          <w:lang w:eastAsia="zh-CN"/>
        </w:rPr>
        <w:t>线上会议的主会场和分会场参会人数合计原则上不得超过相应会议类别参会人数上限，不请外地同志到主会场参会。</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ascii="仿宋_GB2312" w:hAnsi="仿宋_GB2312" w:eastAsia="仿宋_GB2312" w:cs="仿宋_GB2312"/>
          <w:b w:val="0"/>
          <w:bCs w:val="0"/>
          <w:color w:val="auto"/>
          <w:highlight w:val="none"/>
        </w:rPr>
      </w:pPr>
      <w:r>
        <w:rPr>
          <w:rFonts w:hint="eastAsia" w:ascii="楷体_GB2312" w:hAnsi="楷体_GB2312" w:eastAsia="楷体_GB2312" w:cs="楷体_GB2312"/>
          <w:b w:val="0"/>
          <w:bCs w:val="0"/>
          <w:color w:val="auto"/>
          <w:highlight w:val="none"/>
          <w:lang w:eastAsia="zh-CN"/>
        </w:rPr>
        <w:t>第十二条</w:t>
      </w:r>
      <w:r>
        <w:rPr>
          <w:rFonts w:hint="eastAsia" w:ascii="楷体_GB2312" w:hAnsi="楷体_GB2312" w:eastAsia="楷体_GB2312" w:cs="楷体_GB2312"/>
          <w:b w:val="0"/>
          <w:bCs w:val="0"/>
          <w:color w:val="auto"/>
          <w:highlight w:val="none"/>
          <w:lang w:val="en-US" w:eastAsia="zh-CN"/>
        </w:rPr>
        <w:t xml:space="preserve">  </w:t>
      </w:r>
      <w:r>
        <w:rPr>
          <w:rFonts w:hint="eastAsia"/>
          <w:b w:val="0"/>
          <w:bCs w:val="0"/>
          <w:color w:val="auto"/>
          <w:highlight w:val="none"/>
          <w:lang w:val="en-US" w:eastAsia="zh-CN"/>
        </w:rPr>
        <w:t>严格控制会议地点。</w:t>
      </w:r>
      <w:r>
        <w:rPr>
          <w:rFonts w:hint="eastAsia" w:ascii="仿宋_GB2312" w:hAnsi="仿宋_GB2312" w:eastAsia="仿宋_GB2312" w:cs="仿宋_GB2312"/>
          <w:b w:val="0"/>
          <w:bCs w:val="0"/>
          <w:color w:val="auto"/>
          <w:highlight w:val="none"/>
          <w:lang w:val="en-US" w:eastAsia="zh-CN"/>
        </w:rPr>
        <w:t>线下</w:t>
      </w:r>
      <w:r>
        <w:rPr>
          <w:rFonts w:hint="eastAsia" w:ascii="仿宋_GB2312" w:hAnsi="仿宋_GB2312" w:eastAsia="仿宋_GB2312" w:cs="仿宋_GB2312"/>
          <w:b w:val="0"/>
          <w:bCs w:val="0"/>
          <w:color w:val="auto"/>
          <w:highlight w:val="none"/>
        </w:rPr>
        <w:t>会议召开场所实行政府采购定点管理。会议定点</w:t>
      </w:r>
      <w:r>
        <w:rPr>
          <w:rFonts w:hint="eastAsia" w:ascii="仿宋_GB2312" w:hAnsi="仿宋_GB2312" w:eastAsia="仿宋_GB2312" w:cs="仿宋_GB2312"/>
          <w:b w:val="0"/>
          <w:bCs w:val="0"/>
          <w:color w:val="auto"/>
          <w:highlight w:val="none"/>
          <w:lang w:eastAsia="zh-CN"/>
        </w:rPr>
        <w:t>场所</w:t>
      </w:r>
      <w:r>
        <w:rPr>
          <w:rFonts w:hint="eastAsia" w:ascii="仿宋_GB2312" w:hAnsi="仿宋_GB2312" w:eastAsia="仿宋_GB2312" w:cs="仿宋_GB2312"/>
          <w:b w:val="0"/>
          <w:bCs w:val="0"/>
          <w:color w:val="auto"/>
          <w:highlight w:val="none"/>
        </w:rPr>
        <w:t>按照属地原则，由</w:t>
      </w:r>
      <w:r>
        <w:rPr>
          <w:rFonts w:hint="eastAsia" w:ascii="仿宋_GB2312" w:hAnsi="仿宋_GB2312" w:eastAsia="仿宋_GB2312" w:cs="仿宋_GB2312"/>
          <w:b w:val="0"/>
          <w:bCs w:val="0"/>
          <w:color w:val="auto"/>
          <w:highlight w:val="none"/>
          <w:lang w:eastAsia="zh-CN"/>
        </w:rPr>
        <w:t>当地</w:t>
      </w:r>
      <w:r>
        <w:rPr>
          <w:rFonts w:hint="eastAsia" w:ascii="仿宋_GB2312" w:hAnsi="仿宋_GB2312" w:eastAsia="仿宋_GB2312" w:cs="仿宋_GB2312"/>
          <w:b w:val="0"/>
          <w:bCs w:val="0"/>
          <w:color w:val="auto"/>
          <w:highlight w:val="none"/>
        </w:rPr>
        <w:t>财政部门</w:t>
      </w:r>
      <w:r>
        <w:rPr>
          <w:rFonts w:hint="eastAsia" w:ascii="仿宋_GB2312" w:hAnsi="仿宋_GB2312" w:eastAsia="仿宋_GB2312" w:cs="仿宋_GB2312"/>
          <w:b w:val="0"/>
          <w:bCs w:val="0"/>
          <w:color w:val="auto"/>
          <w:highlight w:val="none"/>
          <w:lang w:eastAsia="zh-CN"/>
        </w:rPr>
        <w:t>统一组织采购。</w:t>
      </w:r>
      <w:r>
        <w:rPr>
          <w:rFonts w:hint="eastAsia" w:ascii="仿宋_GB2312" w:hAnsi="仿宋_GB2312" w:eastAsia="仿宋_GB2312" w:cs="仿宋_GB2312"/>
          <w:b w:val="0"/>
          <w:bCs w:val="0"/>
          <w:color w:val="auto"/>
          <w:highlight w:val="none"/>
        </w:rPr>
        <w:t>各单位应当到定点</w:t>
      </w:r>
      <w:r>
        <w:rPr>
          <w:rFonts w:hint="eastAsia" w:ascii="仿宋_GB2312" w:hAnsi="仿宋_GB2312" w:eastAsia="仿宋_GB2312" w:cs="仿宋_GB2312"/>
          <w:b w:val="0"/>
          <w:bCs w:val="0"/>
          <w:color w:val="auto"/>
          <w:highlight w:val="none"/>
          <w:lang w:eastAsia="zh-CN"/>
        </w:rPr>
        <w:t>场所</w:t>
      </w:r>
      <w:r>
        <w:rPr>
          <w:rFonts w:hint="eastAsia" w:ascii="仿宋_GB2312" w:hAnsi="仿宋_GB2312" w:eastAsia="仿宋_GB2312" w:cs="仿宋_GB2312"/>
          <w:b w:val="0"/>
          <w:bCs w:val="0"/>
          <w:color w:val="auto"/>
          <w:highlight w:val="none"/>
        </w:rPr>
        <w:t>召开会议，按照政府采购确定的党政机关会议定点</w:t>
      </w:r>
      <w:r>
        <w:rPr>
          <w:rFonts w:hint="eastAsia" w:ascii="仿宋_GB2312" w:hAnsi="仿宋_GB2312" w:eastAsia="仿宋_GB2312" w:cs="仿宋_GB2312"/>
          <w:b w:val="0"/>
          <w:bCs w:val="0"/>
          <w:color w:val="auto"/>
          <w:highlight w:val="none"/>
          <w:lang w:eastAsia="zh-CN"/>
        </w:rPr>
        <w:t>场所</w:t>
      </w:r>
      <w:r>
        <w:rPr>
          <w:rFonts w:hint="eastAsia" w:ascii="仿宋_GB2312" w:hAnsi="仿宋_GB2312" w:eastAsia="仿宋_GB2312" w:cs="仿宋_GB2312"/>
          <w:b w:val="0"/>
          <w:bCs w:val="0"/>
          <w:color w:val="auto"/>
          <w:highlight w:val="none"/>
        </w:rPr>
        <w:t>协议价格结算费用。未纳入定点范围，价格低于市级会议费综合定额标准的单位内部会议室、礼堂、</w:t>
      </w:r>
      <w:r>
        <w:rPr>
          <w:rFonts w:hint="eastAsia" w:ascii="仿宋_GB2312" w:hAnsi="仿宋_GB2312" w:eastAsia="仿宋_GB2312" w:cs="仿宋_GB2312"/>
          <w:b w:val="0"/>
          <w:bCs w:val="0"/>
          <w:color w:val="auto"/>
          <w:highlight w:val="none"/>
          <w:lang w:eastAsia="zh-CN"/>
        </w:rPr>
        <w:t>培训（会议）</w:t>
      </w:r>
      <w:r>
        <w:rPr>
          <w:rFonts w:hint="eastAsia" w:ascii="仿宋_GB2312" w:hAnsi="仿宋_GB2312" w:eastAsia="仿宋_GB2312" w:cs="仿宋_GB2312"/>
          <w:b w:val="0"/>
          <w:bCs w:val="0"/>
          <w:color w:val="auto"/>
          <w:highlight w:val="none"/>
        </w:rPr>
        <w:t>中心</w:t>
      </w:r>
      <w:r>
        <w:rPr>
          <w:rFonts w:hint="eastAsia" w:ascii="仿宋_GB2312" w:hAnsi="仿宋_GB2312" w:eastAsia="仿宋_GB2312" w:cs="仿宋_GB2312"/>
          <w:b w:val="0"/>
          <w:bCs w:val="0"/>
          <w:color w:val="auto"/>
          <w:highlight w:val="none"/>
          <w:lang w:eastAsia="zh-CN"/>
        </w:rPr>
        <w:t>等</w:t>
      </w:r>
      <w:r>
        <w:rPr>
          <w:rFonts w:hint="eastAsia" w:ascii="仿宋_GB2312" w:hAnsi="仿宋_GB2312" w:eastAsia="仿宋_GB2312" w:cs="仿宋_GB2312"/>
          <w:b w:val="0"/>
          <w:bCs w:val="0"/>
          <w:color w:val="auto"/>
          <w:highlight w:val="none"/>
        </w:rPr>
        <w:t>，应当优先作为本单位或者本系统会议场所。</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default" w:ascii="仿宋_GB2312" w:hAnsi="仿宋_GB2312" w:eastAsia="仿宋_GB2312" w:cs="仿宋_GB2312"/>
          <w:b w:val="0"/>
          <w:bCs w:val="0"/>
          <w:color w:val="auto"/>
          <w:highlight w:val="none"/>
          <w:lang w:val="en-US" w:eastAsia="zh-CN"/>
        </w:rPr>
      </w:pPr>
      <w:r>
        <w:rPr>
          <w:rFonts w:hint="eastAsia" w:ascii="仿宋_GB2312" w:hAnsi="仿宋_GB2312" w:cs="仿宋_GB2312"/>
          <w:b w:val="0"/>
          <w:bCs w:val="0"/>
          <w:color w:val="auto"/>
          <w:highlight w:val="none"/>
          <w:lang w:val="en-US" w:eastAsia="zh-CN"/>
        </w:rPr>
        <w:t>小型三类会议或</w:t>
      </w:r>
      <w:r>
        <w:rPr>
          <w:rFonts w:hint="eastAsia" w:ascii="仿宋_GB2312" w:hAnsi="仿宋_GB2312" w:eastAsia="仿宋_GB2312" w:cs="仿宋_GB2312"/>
          <w:b w:val="0"/>
          <w:bCs w:val="0"/>
          <w:color w:val="auto"/>
          <w:highlight w:val="none"/>
        </w:rPr>
        <w:t>参会人员在50人以内的会议，原则上在单位内部会议室</w:t>
      </w:r>
      <w:r>
        <w:rPr>
          <w:rFonts w:hint="eastAsia" w:ascii="仿宋_GB2312" w:hAnsi="仿宋_GB2312" w:cs="仿宋_GB2312"/>
          <w:b w:val="0"/>
          <w:bCs w:val="0"/>
          <w:color w:val="auto"/>
          <w:highlight w:val="none"/>
          <w:lang w:val="en-US" w:eastAsia="zh-CN"/>
        </w:rPr>
        <w:t>召开。</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ascii="仿宋_GB2312" w:hAnsi="仿宋_GB2312" w:eastAsia="仿宋_GB2312" w:cs="仿宋_GB2312"/>
          <w:b w:val="0"/>
          <w:bCs w:val="0"/>
          <w:color w:val="auto"/>
          <w:highlight w:val="none"/>
        </w:rPr>
      </w:pPr>
      <w:r>
        <w:rPr>
          <w:rFonts w:hint="eastAsia" w:ascii="仿宋_GB2312" w:hAnsi="仿宋_GB2312" w:eastAsia="仿宋_GB2312" w:cs="仿宋_GB2312"/>
          <w:b w:val="0"/>
          <w:bCs w:val="0"/>
          <w:color w:val="auto"/>
          <w:highlight w:val="none"/>
        </w:rPr>
        <w:t>参会人员以市直单位为主的会议不得到各区市召开。</w:t>
      </w:r>
      <w:bookmarkStart w:id="0" w:name="_GoBack"/>
      <w:bookmarkEnd w:id="0"/>
      <w:r>
        <w:rPr>
          <w:rFonts w:hint="eastAsia" w:ascii="仿宋_GB2312" w:hAnsi="仿宋_GB2312" w:eastAsia="仿宋_GB2312" w:cs="仿宋_GB2312"/>
          <w:b w:val="0"/>
          <w:bCs w:val="0"/>
          <w:color w:val="auto"/>
          <w:highlight w:val="none"/>
        </w:rPr>
        <w:t>各单位不得到</w:t>
      </w:r>
      <w:r>
        <w:rPr>
          <w:rFonts w:hint="eastAsia" w:ascii="仿宋_GB2312" w:hAnsi="仿宋_GB2312" w:eastAsia="仿宋_GB2312" w:cs="仿宋_GB2312"/>
          <w:b w:val="0"/>
          <w:bCs w:val="0"/>
          <w:color w:val="auto"/>
          <w:highlight w:val="none"/>
          <w:lang w:eastAsia="zh-CN"/>
        </w:rPr>
        <w:t>党中央、国务院</w:t>
      </w:r>
      <w:r>
        <w:rPr>
          <w:rFonts w:hint="eastAsia" w:ascii="仿宋_GB2312" w:hAnsi="仿宋_GB2312" w:eastAsia="仿宋_GB2312" w:cs="仿宋_GB2312"/>
          <w:b w:val="0"/>
          <w:bCs w:val="0"/>
          <w:color w:val="auto"/>
          <w:highlight w:val="none"/>
        </w:rPr>
        <w:t>明令禁止的风景名胜区召开会议。</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黑体" w:eastAsia="黑体"/>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ascii="黑体" w:eastAsia="黑体"/>
          <w:b w:val="0"/>
          <w:bCs w:val="0"/>
          <w:color w:val="auto"/>
          <w:highlight w:val="none"/>
        </w:rPr>
      </w:pPr>
      <w:r>
        <w:rPr>
          <w:rFonts w:hint="eastAsia" w:ascii="黑体" w:eastAsia="黑体"/>
          <w:b w:val="0"/>
          <w:bCs w:val="0"/>
          <w:color w:val="auto"/>
          <w:highlight w:val="none"/>
        </w:rPr>
        <w:t>第三章　会议费开支范围</w:t>
      </w:r>
      <w:r>
        <w:rPr>
          <w:rFonts w:hint="eastAsia" w:ascii="黑体" w:eastAsia="黑体"/>
          <w:b w:val="0"/>
          <w:bCs w:val="0"/>
          <w:color w:val="auto"/>
          <w:highlight w:val="none"/>
          <w:lang w:eastAsia="zh-CN"/>
        </w:rPr>
        <w:t>及</w:t>
      </w:r>
      <w:r>
        <w:rPr>
          <w:rFonts w:hint="eastAsia" w:ascii="黑体" w:eastAsia="黑体"/>
          <w:b w:val="0"/>
          <w:bCs w:val="0"/>
          <w:color w:val="auto"/>
          <w:highlight w:val="none"/>
        </w:rPr>
        <w:t>标准</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第十三条</w:t>
      </w:r>
      <w:r>
        <w:rPr>
          <w:rFonts w:hint="eastAsia"/>
          <w:b w:val="0"/>
          <w:bCs w:val="0"/>
          <w:color w:val="auto"/>
          <w:highlight w:val="none"/>
        </w:rPr>
        <w:t>　</w:t>
      </w:r>
      <w:r>
        <w:rPr>
          <w:rFonts w:hint="eastAsia"/>
          <w:b w:val="0"/>
          <w:bCs w:val="0"/>
          <w:color w:val="auto"/>
          <w:highlight w:val="none"/>
          <w:lang w:eastAsia="zh-CN"/>
        </w:rPr>
        <w:t>线下</w:t>
      </w:r>
      <w:r>
        <w:rPr>
          <w:rFonts w:hint="eastAsia"/>
          <w:b w:val="0"/>
          <w:bCs w:val="0"/>
          <w:color w:val="auto"/>
          <w:highlight w:val="none"/>
        </w:rPr>
        <w:t>会议费开支范围</w:t>
      </w:r>
      <w:r>
        <w:rPr>
          <w:rFonts w:hint="eastAsia"/>
          <w:b w:val="0"/>
          <w:bCs w:val="0"/>
          <w:color w:val="auto"/>
          <w:highlight w:val="none"/>
          <w:lang w:eastAsia="zh-CN"/>
        </w:rPr>
        <w:t>及标准</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b w:val="0"/>
          <w:bCs w:val="0"/>
          <w:color w:val="auto"/>
          <w:highlight w:val="none"/>
          <w:lang w:eastAsia="zh-CN"/>
        </w:rPr>
        <w:t>（一）线下会议费开支范围</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b w:val="0"/>
          <w:bCs w:val="0"/>
          <w:color w:val="auto"/>
          <w:highlight w:val="none"/>
          <w:lang w:eastAsia="zh-CN"/>
        </w:rPr>
        <w:t>线下会议费</w:t>
      </w:r>
      <w:r>
        <w:rPr>
          <w:rFonts w:hint="eastAsia"/>
          <w:b w:val="0"/>
          <w:bCs w:val="0"/>
          <w:color w:val="auto"/>
          <w:highlight w:val="none"/>
        </w:rPr>
        <w:t>包括</w:t>
      </w:r>
      <w:r>
        <w:rPr>
          <w:rFonts w:hint="eastAsia"/>
          <w:b w:val="0"/>
          <w:bCs w:val="0"/>
          <w:color w:val="auto"/>
          <w:highlight w:val="none"/>
          <w:lang w:eastAsia="zh-CN"/>
        </w:rPr>
        <w:t>：</w:t>
      </w:r>
      <w:r>
        <w:rPr>
          <w:rFonts w:hint="eastAsia"/>
          <w:b w:val="0"/>
          <w:bCs w:val="0"/>
          <w:color w:val="auto"/>
          <w:highlight w:val="none"/>
        </w:rPr>
        <w:t>住宿费、伙食费、会议室租金、交通费、文件印刷费、医药费等。交通费是指用于会议代表接送站，以及会议统一组织的代表考察、调研等发生的交通支出。</w:t>
      </w:r>
    </w:p>
    <w:p>
      <w:pPr>
        <w:keepNext w:val="0"/>
        <w:keepLines w:val="0"/>
        <w:pageBreakBefore w:val="0"/>
        <w:widowControl w:val="0"/>
        <w:kinsoku/>
        <w:wordWrap/>
        <w:overflowPunct/>
        <w:topLinePunct w:val="0"/>
        <w:autoSpaceDE/>
        <w:autoSpaceDN/>
        <w:bidi w:val="0"/>
        <w:adjustRightInd/>
        <w:snapToGrid/>
        <w:spacing w:line="640" w:lineRule="exact"/>
        <w:textAlignment w:val="auto"/>
        <w:rPr>
          <w:b w:val="0"/>
          <w:bCs w:val="0"/>
          <w:color w:val="auto"/>
          <w:highlight w:val="none"/>
        </w:rPr>
      </w:pPr>
      <w:r>
        <w:rPr>
          <w:rFonts w:hint="eastAsia"/>
          <w:b w:val="0"/>
          <w:bCs w:val="0"/>
          <w:color w:val="auto"/>
          <w:highlight w:val="none"/>
        </w:rPr>
        <w:t>会议代表参加会议发生的城市间交通费，按照差旅费管理规定回单位报销。</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200"/>
        <w:textAlignment w:val="auto"/>
        <w:rPr>
          <w:rFonts w:hint="eastAsia"/>
          <w:b w:val="0"/>
          <w:bCs w:val="0"/>
          <w:color w:val="auto"/>
          <w:highlight w:val="none"/>
        </w:rPr>
      </w:pPr>
      <w:r>
        <w:rPr>
          <w:rFonts w:hint="eastAsia"/>
          <w:b w:val="0"/>
          <w:bCs w:val="0"/>
          <w:color w:val="auto"/>
          <w:highlight w:val="none"/>
          <w:lang w:val="en-US" w:eastAsia="zh-CN"/>
        </w:rPr>
        <w:t>（二）</w:t>
      </w:r>
      <w:r>
        <w:rPr>
          <w:rFonts w:hint="eastAsia"/>
          <w:b w:val="0"/>
          <w:bCs w:val="0"/>
          <w:color w:val="auto"/>
          <w:highlight w:val="none"/>
          <w:lang w:eastAsia="zh-CN"/>
        </w:rPr>
        <w:t>线下</w:t>
      </w:r>
      <w:r>
        <w:rPr>
          <w:rFonts w:hint="eastAsia"/>
          <w:b w:val="0"/>
          <w:bCs w:val="0"/>
          <w:color w:val="auto"/>
          <w:highlight w:val="none"/>
        </w:rPr>
        <w:t>会议费综合定额标准　　</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200" w:firstLine="4480" w:firstLineChars="1400"/>
        <w:textAlignment w:val="auto"/>
        <w:rPr>
          <w:rFonts w:hint="eastAsia"/>
          <w:b w:val="0"/>
          <w:bCs w:val="0"/>
          <w:color w:val="auto"/>
          <w:highlight w:val="none"/>
        </w:rPr>
      </w:pPr>
      <w:r>
        <w:rPr>
          <w:rFonts w:hint="eastAsia"/>
          <w:b w:val="0"/>
          <w:bCs w:val="0"/>
          <w:color w:val="auto"/>
          <w:highlight w:val="none"/>
        </w:rPr>
        <w:t>单位：元/</w:t>
      </w:r>
      <w:r>
        <w:rPr>
          <w:b w:val="0"/>
          <w:bCs w:val="0"/>
          <w:color w:val="auto"/>
          <w:highlight w:val="none"/>
        </w:rPr>
        <w:t>人</w:t>
      </w:r>
      <w:r>
        <w:rPr>
          <w:rFonts w:hint="eastAsia" w:ascii="仿宋_GB2312"/>
          <w:b w:val="0"/>
          <w:bCs w:val="0"/>
          <w:color w:val="auto"/>
          <w:highlight w:val="none"/>
        </w:rPr>
        <w:t>·</w:t>
      </w:r>
      <w:r>
        <w:rPr>
          <w:b w:val="0"/>
          <w:bCs w:val="0"/>
          <w:color w:val="auto"/>
          <w:highlight w:val="none"/>
        </w:rPr>
        <w:t>天</w:t>
      </w:r>
    </w:p>
    <w:tbl>
      <w:tblPr>
        <w:tblStyle w:val="2"/>
        <w:tblW w:w="0" w:type="auto"/>
        <w:jc w:val="center"/>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1580"/>
        <w:gridCol w:w="1580"/>
        <w:gridCol w:w="1580"/>
        <w:gridCol w:w="1316"/>
      </w:tblGrid>
      <w:tr>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1637" w:type="dxa"/>
            <w:vMerge w:val="restart"/>
            <w:tcBorders>
              <w:top w:val="single" w:color="auto" w:sz="8" w:space="0"/>
              <w:left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会议类别</w:t>
            </w:r>
          </w:p>
        </w:tc>
        <w:tc>
          <w:tcPr>
            <w:tcW w:w="4740" w:type="dxa"/>
            <w:gridSpan w:val="3"/>
            <w:tcBorders>
              <w:top w:val="single" w:color="auto" w:sz="8"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eastAsia="仿宋_GB2312"/>
                <w:b w:val="0"/>
                <w:bCs w:val="0"/>
                <w:color w:val="auto"/>
                <w:highlight w:val="none"/>
                <w:lang w:eastAsia="zh-CN"/>
              </w:rPr>
            </w:pPr>
            <w:r>
              <w:rPr>
                <w:rFonts w:hint="eastAsia"/>
                <w:b w:val="0"/>
                <w:bCs w:val="0"/>
                <w:color w:val="auto"/>
                <w:highlight w:val="none"/>
                <w:lang w:eastAsia="zh-CN"/>
              </w:rPr>
              <w:t>开支项目</w:t>
            </w:r>
          </w:p>
        </w:tc>
        <w:tc>
          <w:tcPr>
            <w:tcW w:w="1316" w:type="dxa"/>
            <w:vMerge w:val="restart"/>
            <w:tcBorders>
              <w:top w:val="single" w:color="auto" w:sz="8"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合计</w:t>
            </w:r>
          </w:p>
        </w:tc>
      </w:tr>
      <w:tr>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1" w:hRule="atLeast"/>
          <w:jc w:val="center"/>
        </w:trPr>
        <w:tc>
          <w:tcPr>
            <w:tcW w:w="1637" w:type="dxa"/>
            <w:vMerge w:val="continue"/>
            <w:tcBorders>
              <w:left w:val="single" w:color="auto" w:sz="8"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p>
        </w:tc>
        <w:tc>
          <w:tcPr>
            <w:tcW w:w="1580" w:type="dxa"/>
            <w:tcBorders>
              <w:top w:val="single" w:color="auto" w:sz="8"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住宿费</w:t>
            </w:r>
          </w:p>
        </w:tc>
        <w:tc>
          <w:tcPr>
            <w:tcW w:w="1580" w:type="dxa"/>
            <w:tcBorders>
              <w:top w:val="single" w:color="auto" w:sz="8"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伙食费</w:t>
            </w:r>
          </w:p>
        </w:tc>
        <w:tc>
          <w:tcPr>
            <w:tcW w:w="1580" w:type="dxa"/>
            <w:tcBorders>
              <w:top w:val="single" w:color="auto" w:sz="8"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其他费用</w:t>
            </w:r>
          </w:p>
        </w:tc>
        <w:tc>
          <w:tcPr>
            <w:tcW w:w="1316"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p>
        </w:tc>
      </w:tr>
      <w:tr>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jc w:val="center"/>
        </w:trPr>
        <w:tc>
          <w:tcPr>
            <w:tcW w:w="1637" w:type="dxa"/>
            <w:tcBorders>
              <w:top w:val="single" w:color="auto" w:sz="4" w:space="0"/>
              <w:left w:val="single" w:color="auto" w:sz="8"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一类会议</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3</w:t>
            </w:r>
            <w:r>
              <w:rPr>
                <w:rFonts w:hint="eastAsia"/>
                <w:b w:val="0"/>
                <w:bCs w:val="0"/>
                <w:color w:val="auto"/>
                <w:highlight w:val="none"/>
                <w:lang w:val="en-US" w:eastAsia="zh-CN"/>
              </w:rPr>
              <w:t>1</w:t>
            </w:r>
            <w:r>
              <w:rPr>
                <w:rFonts w:hint="eastAsia"/>
                <w:b w:val="0"/>
                <w:bCs w:val="0"/>
                <w:color w:val="auto"/>
                <w:highlight w:val="none"/>
              </w:rPr>
              <w:t>0</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130</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1</w:t>
            </w:r>
            <w:r>
              <w:rPr>
                <w:rFonts w:hint="eastAsia"/>
                <w:b w:val="0"/>
                <w:bCs w:val="0"/>
                <w:color w:val="auto"/>
                <w:highlight w:val="none"/>
                <w:lang w:val="en-US" w:eastAsia="zh-CN"/>
              </w:rPr>
              <w:t>1</w:t>
            </w:r>
            <w:r>
              <w:rPr>
                <w:rFonts w:hint="eastAsia"/>
                <w:b w:val="0"/>
                <w:bCs w:val="0"/>
                <w:color w:val="auto"/>
                <w:highlight w:val="none"/>
              </w:rPr>
              <w:t>0</w:t>
            </w:r>
          </w:p>
        </w:tc>
        <w:tc>
          <w:tcPr>
            <w:tcW w:w="13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550</w:t>
            </w:r>
          </w:p>
        </w:tc>
      </w:tr>
      <w:tr>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1637" w:type="dxa"/>
            <w:tcBorders>
              <w:top w:val="single" w:color="auto" w:sz="4" w:space="0"/>
              <w:left w:val="single" w:color="auto" w:sz="8"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二类会议</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2</w:t>
            </w:r>
            <w:r>
              <w:rPr>
                <w:rFonts w:hint="eastAsia"/>
                <w:b w:val="0"/>
                <w:bCs w:val="0"/>
                <w:color w:val="auto"/>
                <w:highlight w:val="none"/>
                <w:lang w:val="en-US" w:eastAsia="zh-CN"/>
              </w:rPr>
              <w:t>3</w:t>
            </w:r>
            <w:r>
              <w:rPr>
                <w:rFonts w:hint="eastAsia"/>
                <w:b w:val="0"/>
                <w:bCs w:val="0"/>
                <w:color w:val="auto"/>
                <w:highlight w:val="none"/>
              </w:rPr>
              <w:t>0</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120</w:t>
            </w:r>
          </w:p>
        </w:tc>
        <w:tc>
          <w:tcPr>
            <w:tcW w:w="15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default" w:eastAsia="仿宋_GB2312"/>
                <w:b w:val="0"/>
                <w:bCs w:val="0"/>
                <w:color w:val="auto"/>
                <w:highlight w:val="none"/>
                <w:lang w:val="en-US" w:eastAsia="zh-CN"/>
              </w:rPr>
            </w:pPr>
            <w:r>
              <w:rPr>
                <w:rFonts w:hint="eastAsia"/>
                <w:b w:val="0"/>
                <w:bCs w:val="0"/>
                <w:color w:val="auto"/>
                <w:highlight w:val="none"/>
                <w:lang w:val="en-US" w:eastAsia="zh-CN"/>
              </w:rPr>
              <w:t>100</w:t>
            </w:r>
          </w:p>
        </w:tc>
        <w:tc>
          <w:tcPr>
            <w:tcW w:w="13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450</w:t>
            </w:r>
          </w:p>
        </w:tc>
      </w:tr>
      <w:tr>
        <w:tblPrEx>
          <w:tblBorders>
            <w:top w:val="single" w:color="auto" w:sz="8" w:space="0"/>
            <w:left w:val="single" w:color="auto" w:sz="8" w:space="0"/>
            <w:bottom w:val="single" w:color="auto" w:sz="8"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637" w:type="dxa"/>
            <w:tcBorders>
              <w:top w:val="single" w:color="auto" w:sz="4" w:space="0"/>
              <w:left w:val="single" w:color="auto" w:sz="8" w:space="0"/>
              <w:bottom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三类会议</w:t>
            </w:r>
          </w:p>
        </w:tc>
        <w:tc>
          <w:tcPr>
            <w:tcW w:w="1580" w:type="dxa"/>
            <w:tcBorders>
              <w:top w:val="single" w:color="auto" w:sz="4" w:space="0"/>
              <w:left w:val="single" w:color="auto" w:sz="4" w:space="0"/>
              <w:bottom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210</w:t>
            </w:r>
          </w:p>
        </w:tc>
        <w:tc>
          <w:tcPr>
            <w:tcW w:w="1580" w:type="dxa"/>
            <w:tcBorders>
              <w:top w:val="single" w:color="auto" w:sz="4" w:space="0"/>
              <w:left w:val="single" w:color="auto" w:sz="4" w:space="0"/>
              <w:bottom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110</w:t>
            </w:r>
          </w:p>
        </w:tc>
        <w:tc>
          <w:tcPr>
            <w:tcW w:w="1580" w:type="dxa"/>
            <w:tcBorders>
              <w:top w:val="single" w:color="auto" w:sz="4" w:space="0"/>
              <w:left w:val="single" w:color="auto" w:sz="4" w:space="0"/>
              <w:bottom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80</w:t>
            </w:r>
          </w:p>
        </w:tc>
        <w:tc>
          <w:tcPr>
            <w:tcW w:w="1316" w:type="dxa"/>
            <w:tcBorders>
              <w:top w:val="single" w:color="auto" w:sz="4" w:space="0"/>
              <w:left w:val="single" w:color="auto" w:sz="4" w:space="0"/>
              <w:bottom w:val="single" w:color="auto" w:sz="8"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b w:val="0"/>
                <w:bCs w:val="0"/>
                <w:color w:val="auto"/>
                <w:highlight w:val="none"/>
              </w:rPr>
            </w:pPr>
            <w:r>
              <w:rPr>
                <w:rFonts w:hint="eastAsia"/>
                <w:b w:val="0"/>
                <w:bCs w:val="0"/>
                <w:color w:val="auto"/>
                <w:highlight w:val="none"/>
              </w:rPr>
              <w:t>400</w:t>
            </w:r>
          </w:p>
        </w:tc>
      </w:tr>
    </w:tbl>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r>
        <w:rPr>
          <w:rFonts w:hint="eastAsia"/>
          <w:b w:val="0"/>
          <w:bCs w:val="0"/>
          <w:color w:val="auto"/>
          <w:highlight w:val="none"/>
          <w:lang w:eastAsia="zh-CN"/>
        </w:rPr>
        <w:t>线下会议费实行综合定额控制，以实际发生费用的项目分项</w:t>
      </w:r>
      <w:r>
        <w:rPr>
          <w:rFonts w:hint="eastAsia"/>
          <w:b w:val="0"/>
          <w:bCs w:val="0"/>
          <w:color w:val="auto"/>
          <w:highlight w:val="none"/>
        </w:rPr>
        <w:t>综合定额标准</w:t>
      </w:r>
      <w:r>
        <w:rPr>
          <w:rFonts w:hint="eastAsia"/>
          <w:b w:val="0"/>
          <w:bCs w:val="0"/>
          <w:color w:val="auto"/>
          <w:highlight w:val="none"/>
          <w:lang w:eastAsia="zh-CN"/>
        </w:rPr>
        <w:t>总额为上限，各项费用之间可以调剂使用，未实际发生费用的开支项目不得参与调剂。各单位应当根据实际参会人数、会议时间核算线下会议费，并在</w:t>
      </w:r>
      <w:r>
        <w:rPr>
          <w:rFonts w:hint="eastAsia"/>
          <w:b w:val="0"/>
          <w:bCs w:val="0"/>
          <w:color w:val="auto"/>
          <w:highlight w:val="none"/>
        </w:rPr>
        <w:t>定额标准以内</w:t>
      </w:r>
      <w:r>
        <w:rPr>
          <w:rFonts w:hint="eastAsia"/>
          <w:b w:val="0"/>
          <w:bCs w:val="0"/>
          <w:color w:val="auto"/>
          <w:highlight w:val="none"/>
          <w:lang w:eastAsia="zh-CN"/>
        </w:rPr>
        <w:t>据实</w:t>
      </w:r>
      <w:r>
        <w:rPr>
          <w:rFonts w:hint="eastAsia"/>
          <w:b w:val="0"/>
          <w:bCs w:val="0"/>
          <w:color w:val="auto"/>
          <w:highlight w:val="none"/>
        </w:rPr>
        <w:t>结算报销。</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r>
        <w:rPr>
          <w:rFonts w:hint="eastAsia"/>
          <w:b w:val="0"/>
          <w:bCs w:val="0"/>
          <w:color w:val="auto"/>
          <w:highlight w:val="none"/>
          <w:lang w:eastAsia="zh-CN"/>
        </w:rPr>
        <w:t>实际会期半天以内的会议，会议举办单位原则上不安排餐食和住宿</w:t>
      </w:r>
      <w:r>
        <w:rPr>
          <w:b w:val="0"/>
          <w:bCs w:val="0"/>
          <w:color w:val="auto"/>
          <w:highlight w:val="none"/>
        </w:rPr>
        <w:t>。</w:t>
      </w:r>
      <w:r>
        <w:rPr>
          <w:rFonts w:hint="eastAsia"/>
          <w:b w:val="0"/>
          <w:bCs w:val="0"/>
          <w:color w:val="auto"/>
          <w:highlight w:val="none"/>
          <w:lang w:eastAsia="zh-CN"/>
        </w:rPr>
        <w:t>因会议时间延长、参会人员来自威海主城区以外等特殊情况确需安排用餐，可由会议举办单位在机关事业单位食堂或会议场所提供一次工作用餐。</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第十四条</w:t>
      </w:r>
      <w:r>
        <w:rPr>
          <w:rFonts w:hint="eastAsia"/>
          <w:b w:val="0"/>
          <w:bCs w:val="0"/>
          <w:color w:val="auto"/>
          <w:highlight w:val="none"/>
          <w:lang w:val="en-US" w:eastAsia="zh-CN"/>
        </w:rPr>
        <w:t xml:space="preserve">  </w:t>
      </w:r>
      <w:r>
        <w:rPr>
          <w:rFonts w:hint="eastAsia"/>
          <w:b w:val="0"/>
          <w:bCs w:val="0"/>
          <w:color w:val="auto"/>
          <w:highlight w:val="none"/>
          <w:lang w:eastAsia="zh-CN"/>
        </w:rPr>
        <w:t>线上会议费开支范围及标准</w:t>
      </w:r>
    </w:p>
    <w:p>
      <w:pPr>
        <w:keepNext w:val="0"/>
        <w:keepLines w:val="0"/>
        <w:pageBreakBefore w:val="0"/>
        <w:widowControl w:val="0"/>
        <w:numPr>
          <w:ilvl w:val="0"/>
          <w:numId w:val="2"/>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b w:val="0"/>
          <w:bCs w:val="0"/>
          <w:color w:val="auto"/>
          <w:highlight w:val="none"/>
          <w:lang w:eastAsia="zh-CN"/>
        </w:rPr>
        <w:t>线上会议费开支范围</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b w:val="0"/>
          <w:bCs w:val="0"/>
          <w:color w:val="auto"/>
          <w:highlight w:val="none"/>
          <w:lang w:eastAsia="zh-CN"/>
        </w:rPr>
        <w:t>线上会议费包括：能够明确对应具体会议的线路费、电视电话会议通话费、技术服务费、软件应用费，以及与线上形式直接相关的设备租赁费、音视频制作费等。各单位内部采取包月或包年等方式长期结算的宽带、专用线路、会议软件、设备租赁以及技术服务等费用，不得在会议费中重复列支。</w:t>
      </w:r>
    </w:p>
    <w:p>
      <w:pPr>
        <w:keepNext w:val="0"/>
        <w:keepLines w:val="0"/>
        <w:pageBreakBefore w:val="0"/>
        <w:widowControl w:val="0"/>
        <w:numPr>
          <w:ilvl w:val="0"/>
          <w:numId w:val="2"/>
        </w:numPr>
        <w:kinsoku/>
        <w:wordWrap/>
        <w:overflowPunct/>
        <w:topLinePunct w:val="0"/>
        <w:autoSpaceDE/>
        <w:autoSpaceDN/>
        <w:bidi w:val="0"/>
        <w:adjustRightInd/>
        <w:snapToGrid/>
        <w:spacing w:line="640" w:lineRule="exact"/>
        <w:ind w:left="0" w:leftChars="0" w:firstLine="640" w:firstLineChars="200"/>
        <w:textAlignment w:val="auto"/>
        <w:rPr>
          <w:rFonts w:hint="eastAsia" w:ascii="仿宋_GB2312" w:hAnsi="仿宋_GB2312" w:eastAsia="仿宋_GB2312" w:cs="仿宋_GB2312"/>
          <w:b w:val="0"/>
          <w:bCs w:val="0"/>
          <w:color w:val="auto"/>
          <w:highlight w:val="none"/>
          <w:lang w:eastAsia="zh-CN"/>
        </w:rPr>
      </w:pPr>
      <w:r>
        <w:rPr>
          <w:rFonts w:hint="eastAsia" w:ascii="仿宋_GB2312" w:hAnsi="仿宋_GB2312" w:eastAsia="仿宋_GB2312" w:cs="仿宋_GB2312"/>
          <w:b w:val="0"/>
          <w:bCs w:val="0"/>
          <w:color w:val="auto"/>
          <w:highlight w:val="none"/>
          <w:lang w:eastAsia="zh-CN"/>
        </w:rPr>
        <w:t>线上会议费开支标准</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val="en-US" w:eastAsia="zh-CN"/>
        </w:rPr>
      </w:pPr>
      <w:r>
        <w:rPr>
          <w:rFonts w:hint="eastAsia"/>
          <w:b w:val="0"/>
          <w:bCs w:val="0"/>
          <w:color w:val="auto"/>
          <w:highlight w:val="none"/>
          <w:lang w:val="en-US" w:eastAsia="zh-CN"/>
        </w:rPr>
        <w:t>在单位内部利用现有视频会议系统召开的会议，无特殊情况下不产生线上会议费。在单位以外会议场所召开的线上会议，如发生设备租赁费、线路费等线上会议费开支范围内的费用，原则上凭合法票据在单位年度会议费预算内据实保障。</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val="en-US" w:eastAsia="zh-CN"/>
        </w:rPr>
      </w:pPr>
      <w:r>
        <w:rPr>
          <w:rFonts w:hint="eastAsia" w:ascii="楷体_GB2312" w:hAnsi="楷体_GB2312" w:eastAsia="楷体_GB2312" w:cs="楷体_GB2312"/>
          <w:b w:val="0"/>
          <w:bCs w:val="0"/>
          <w:color w:val="auto"/>
          <w:highlight w:val="none"/>
          <w:lang w:val="en-US" w:eastAsia="zh-CN"/>
        </w:rPr>
        <w:t>第十五条</w:t>
      </w:r>
      <w:r>
        <w:rPr>
          <w:rFonts w:hint="eastAsia"/>
          <w:b w:val="0"/>
          <w:bCs w:val="0"/>
          <w:color w:val="auto"/>
          <w:highlight w:val="none"/>
          <w:lang w:val="en-US" w:eastAsia="zh-CN"/>
        </w:rPr>
        <w:t xml:space="preserve">  线上与线下相结合的会议，按照线上会议费与线下会议费开支范围和标准分别核算费用。</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textAlignment w:val="auto"/>
        <w:rPr>
          <w:rFonts w:hint="eastAsia"/>
          <w:b w:val="0"/>
          <w:bCs w:val="0"/>
          <w:color w:val="auto"/>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jc w:val="center"/>
        <w:textAlignment w:val="auto"/>
        <w:rPr>
          <w:rFonts w:hint="eastAsia" w:ascii="黑体" w:hAnsi="黑体" w:eastAsia="黑体" w:cs="黑体"/>
          <w:b w:val="0"/>
          <w:bCs w:val="0"/>
          <w:color w:val="auto"/>
          <w:highlight w:val="none"/>
          <w:lang w:val="en-US" w:eastAsia="zh-CN"/>
        </w:rPr>
      </w:pPr>
      <w:r>
        <w:rPr>
          <w:rFonts w:hint="eastAsia" w:ascii="黑体" w:hAnsi="黑体" w:eastAsia="黑体" w:cs="黑体"/>
          <w:b w:val="0"/>
          <w:bCs w:val="0"/>
          <w:color w:val="auto"/>
          <w:highlight w:val="none"/>
          <w:lang w:val="en-US" w:eastAsia="zh-CN"/>
        </w:rPr>
        <w:t>第四章  会议费预算及执行</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jc w:val="both"/>
        <w:textAlignment w:val="auto"/>
        <w:rPr>
          <w:rFonts w:hint="eastAsia" w:ascii="黑体" w:hAnsi="黑体" w:eastAsia="黑体" w:cs="黑体"/>
          <w:b w:val="0"/>
          <w:bCs w:val="0"/>
          <w:color w:val="auto"/>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第十六条</w:t>
      </w:r>
      <w:r>
        <w:rPr>
          <w:rFonts w:hint="eastAsia" w:ascii="楷体_GB2312" w:hAnsi="楷体_GB2312" w:eastAsia="楷体_GB2312" w:cs="楷体_GB2312"/>
          <w:b w:val="0"/>
          <w:bCs w:val="0"/>
          <w:color w:val="auto"/>
          <w:highlight w:val="none"/>
          <w:lang w:val="en-US" w:eastAsia="zh-CN"/>
        </w:rPr>
        <w:t xml:space="preserve"> </w:t>
      </w:r>
      <w:r>
        <w:rPr>
          <w:rFonts w:hint="eastAsia"/>
          <w:b w:val="0"/>
          <w:bCs w:val="0"/>
          <w:color w:val="auto"/>
          <w:highlight w:val="none"/>
          <w:lang w:val="en-US" w:eastAsia="zh-CN"/>
        </w:rPr>
        <w:t xml:space="preserve"> </w:t>
      </w:r>
      <w:r>
        <w:rPr>
          <w:rFonts w:hint="eastAsia"/>
          <w:b w:val="0"/>
          <w:bCs w:val="0"/>
          <w:color w:val="auto"/>
          <w:highlight w:val="none"/>
        </w:rPr>
        <w:t>预算管理</w:t>
      </w:r>
      <w:r>
        <w:rPr>
          <w:rFonts w:hint="eastAsia"/>
          <w:b w:val="0"/>
          <w:bCs w:val="0"/>
          <w:color w:val="auto"/>
          <w:highlight w:val="none"/>
          <w:lang w:eastAsia="zh-CN"/>
        </w:rPr>
        <w:t>。严禁超预算或无预算列支会议费。</w:t>
      </w:r>
      <w:r>
        <w:rPr>
          <w:rFonts w:hint="eastAsia"/>
          <w:b w:val="0"/>
          <w:bCs w:val="0"/>
          <w:color w:val="auto"/>
          <w:highlight w:val="none"/>
        </w:rPr>
        <w:t>一类会议经市委、市政府批准后，由市财政局列入各单位部门预算，专项安排；二类会议采取归口管理方式，由市委办公室、市政府办公室严格控制，列入市委办公室、市政府办公室集中管理的会议专项预算；三类会议原则上在各单位部门预算</w:t>
      </w:r>
      <w:r>
        <w:rPr>
          <w:rFonts w:hint="eastAsia"/>
          <w:b w:val="0"/>
          <w:bCs w:val="0"/>
          <w:color w:val="auto"/>
          <w:highlight w:val="none"/>
          <w:lang w:eastAsia="zh-CN"/>
        </w:rPr>
        <w:t>的公用经费或制度允许列支会议费的专项经费</w:t>
      </w:r>
      <w:r>
        <w:rPr>
          <w:rFonts w:hint="eastAsia"/>
          <w:b w:val="0"/>
          <w:bCs w:val="0"/>
          <w:color w:val="auto"/>
          <w:highlight w:val="none"/>
        </w:rPr>
        <w:t>中统筹安排</w:t>
      </w:r>
      <w:r>
        <w:rPr>
          <w:rFonts w:hint="eastAsia"/>
          <w:b w:val="0"/>
          <w:bCs w:val="0"/>
          <w:color w:val="auto"/>
          <w:highlight w:val="none"/>
          <w:lang w:eastAsia="zh-CN"/>
        </w:rPr>
        <w:t>。</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eastAsia="仿宋_GB2312"/>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第十七条</w:t>
      </w:r>
      <w:r>
        <w:rPr>
          <w:rFonts w:hint="eastAsia"/>
          <w:b w:val="0"/>
          <w:bCs w:val="0"/>
          <w:color w:val="auto"/>
          <w:highlight w:val="none"/>
        </w:rPr>
        <w:t>　</w:t>
      </w:r>
      <w:r>
        <w:rPr>
          <w:rFonts w:hint="eastAsia"/>
          <w:b w:val="0"/>
          <w:bCs w:val="0"/>
          <w:color w:val="auto"/>
          <w:highlight w:val="none"/>
          <w:lang w:eastAsia="zh-CN"/>
        </w:rPr>
        <w:t>科目管理。</w:t>
      </w:r>
      <w:r>
        <w:rPr>
          <w:rFonts w:hint="eastAsia"/>
          <w:b w:val="0"/>
          <w:bCs w:val="0"/>
          <w:color w:val="auto"/>
          <w:highlight w:val="none"/>
        </w:rPr>
        <w:t>会议费在《政府收支分类科目》规定的“商品和服务支出”类“会议费”款级经济科目中列支。</w:t>
      </w:r>
      <w:r>
        <w:rPr>
          <w:rFonts w:hint="eastAsia"/>
          <w:b w:val="0"/>
          <w:bCs w:val="0"/>
          <w:color w:val="auto"/>
          <w:highlight w:val="none"/>
          <w:lang w:eastAsia="zh-CN"/>
        </w:rPr>
        <w:t>会议期间聘请专家产生的评审费、咨询费等不纳入会议费开支范围，应按相应科目列支。</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第十八条</w:t>
      </w:r>
      <w:r>
        <w:rPr>
          <w:rFonts w:hint="eastAsia"/>
          <w:b w:val="0"/>
          <w:bCs w:val="0"/>
          <w:color w:val="auto"/>
          <w:highlight w:val="none"/>
        </w:rPr>
        <w:t>　</w:t>
      </w:r>
      <w:r>
        <w:rPr>
          <w:rFonts w:hint="eastAsia"/>
          <w:b w:val="0"/>
          <w:bCs w:val="0"/>
          <w:color w:val="auto"/>
          <w:highlight w:val="none"/>
          <w:lang w:eastAsia="zh-CN"/>
        </w:rPr>
        <w:t>报销管理。</w:t>
      </w:r>
      <w:r>
        <w:rPr>
          <w:rFonts w:hint="eastAsia"/>
          <w:b w:val="0"/>
          <w:bCs w:val="0"/>
          <w:color w:val="auto"/>
          <w:highlight w:val="none"/>
        </w:rPr>
        <w:t>会议费实行一会一结算，各单位对发生的会议费的真实性负责。各单位在会议结束后</w:t>
      </w:r>
      <w:r>
        <w:rPr>
          <w:b w:val="0"/>
          <w:bCs w:val="0"/>
          <w:color w:val="auto"/>
          <w:highlight w:val="none"/>
        </w:rPr>
        <w:t>，应当及时办理报销手续。</w:t>
      </w:r>
      <w:r>
        <w:rPr>
          <w:rFonts w:hint="eastAsia"/>
          <w:b w:val="0"/>
          <w:bCs w:val="0"/>
          <w:color w:val="auto"/>
          <w:highlight w:val="none"/>
          <w:lang w:eastAsia="zh-CN"/>
        </w:rPr>
        <w:t>线下</w:t>
      </w:r>
      <w:r>
        <w:rPr>
          <w:b w:val="0"/>
          <w:bCs w:val="0"/>
          <w:color w:val="auto"/>
          <w:highlight w:val="none"/>
        </w:rPr>
        <w:t>会议费报销时，应当提供会议审批文件、会议通知及实际参会人员名单、定点</w:t>
      </w:r>
      <w:r>
        <w:rPr>
          <w:rFonts w:hint="eastAsia"/>
          <w:b w:val="0"/>
          <w:bCs w:val="0"/>
          <w:color w:val="auto"/>
          <w:highlight w:val="none"/>
          <w:lang w:eastAsia="zh-CN"/>
        </w:rPr>
        <w:t>场所</w:t>
      </w:r>
      <w:r>
        <w:rPr>
          <w:b w:val="0"/>
          <w:bCs w:val="0"/>
          <w:color w:val="auto"/>
          <w:highlight w:val="none"/>
        </w:rPr>
        <w:t>等会议服务单位提供的费用原始明细单据、电子结算单等凭证。</w:t>
      </w:r>
      <w:r>
        <w:rPr>
          <w:rFonts w:hint="eastAsia"/>
          <w:b w:val="0"/>
          <w:bCs w:val="0"/>
          <w:color w:val="auto"/>
          <w:highlight w:val="none"/>
          <w:lang w:eastAsia="zh-CN"/>
        </w:rPr>
        <w:t>线上会议费报销时，应当提供会议审批文件、会议通知以及费用清单和使用相关应用系统所开具的合法票据，签署服务合同的，一并提供服务合同。各单位</w:t>
      </w:r>
      <w:r>
        <w:rPr>
          <w:b w:val="0"/>
          <w:bCs w:val="0"/>
          <w:color w:val="auto"/>
          <w:highlight w:val="none"/>
        </w:rPr>
        <w:t>财务部门应当严格按</w:t>
      </w:r>
      <w:r>
        <w:rPr>
          <w:rFonts w:hint="eastAsia"/>
          <w:b w:val="0"/>
          <w:bCs w:val="0"/>
          <w:color w:val="auto"/>
          <w:highlight w:val="none"/>
          <w:lang w:eastAsia="zh-CN"/>
        </w:rPr>
        <w:t>照</w:t>
      </w:r>
      <w:r>
        <w:rPr>
          <w:b w:val="0"/>
          <w:bCs w:val="0"/>
          <w:color w:val="auto"/>
          <w:highlight w:val="none"/>
        </w:rPr>
        <w:t>规定审核会议费开支，未经批准以及超范围、超标准开支的会议费用，一律不予报销。</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r>
        <w:rPr>
          <w:rFonts w:hint="eastAsia" w:ascii="楷体_GB2312" w:hAnsi="楷体_GB2312" w:eastAsia="楷体_GB2312" w:cs="楷体_GB2312"/>
          <w:b w:val="0"/>
          <w:bCs w:val="0"/>
          <w:color w:val="auto"/>
          <w:highlight w:val="none"/>
          <w:lang w:eastAsia="zh-CN"/>
        </w:rPr>
        <w:t>第十九条</w:t>
      </w:r>
      <w:r>
        <w:rPr>
          <w:rFonts w:hint="eastAsia"/>
          <w:b w:val="0"/>
          <w:bCs w:val="0"/>
          <w:color w:val="auto"/>
          <w:highlight w:val="none"/>
        </w:rPr>
        <w:t>　</w:t>
      </w:r>
      <w:r>
        <w:rPr>
          <w:rFonts w:hint="eastAsia"/>
          <w:b w:val="0"/>
          <w:bCs w:val="0"/>
          <w:color w:val="auto"/>
          <w:highlight w:val="none"/>
          <w:lang w:eastAsia="zh-CN"/>
        </w:rPr>
        <w:t>支付管理。</w:t>
      </w:r>
      <w:r>
        <w:rPr>
          <w:rFonts w:hint="eastAsia"/>
          <w:b w:val="0"/>
          <w:bCs w:val="0"/>
          <w:color w:val="auto"/>
          <w:highlight w:val="none"/>
        </w:rPr>
        <w:t>会议费支付应当严格按照国库集中支付制度和公务卡管理制度的有关规定执行，以银行转账或者公务卡方式结算，禁止以现金方式结算。</w:t>
      </w:r>
      <w:r>
        <w:rPr>
          <w:rFonts w:hint="eastAsia"/>
          <w:b w:val="0"/>
          <w:bCs w:val="0"/>
          <w:color w:val="auto"/>
          <w:highlight w:val="none"/>
          <w:lang w:eastAsia="zh-CN"/>
        </w:rPr>
        <w:t>具备条件的，会议费应当由单位财务部门直接结算。</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lang w:eastAsia="zh-CN"/>
        </w:rPr>
      </w:pPr>
    </w:p>
    <w:p>
      <w:pPr>
        <w:keepNext w:val="0"/>
        <w:keepLines w:val="0"/>
        <w:pageBreakBefore w:val="0"/>
        <w:widowControl w:val="0"/>
        <w:numPr>
          <w:ilvl w:val="0"/>
          <w:numId w:val="3"/>
        </w:numPr>
        <w:kinsoku/>
        <w:wordWrap/>
        <w:overflowPunct/>
        <w:topLinePunct w:val="0"/>
        <w:autoSpaceDE/>
        <w:autoSpaceDN/>
        <w:bidi w:val="0"/>
        <w:adjustRightInd/>
        <w:snapToGrid/>
        <w:spacing w:before="289" w:beforeLines="50" w:after="289" w:afterLines="50" w:line="640" w:lineRule="exact"/>
        <w:jc w:val="center"/>
        <w:textAlignment w:val="auto"/>
        <w:rPr>
          <w:rFonts w:hint="eastAsia" w:ascii="黑体" w:hAnsi="黑体" w:eastAsia="黑体" w:cs="黑体"/>
          <w:b w:val="0"/>
          <w:bCs w:val="0"/>
          <w:color w:val="auto"/>
          <w:kern w:val="32"/>
          <w:highlight w:val="none"/>
        </w:rPr>
      </w:pPr>
      <w:r>
        <w:rPr>
          <w:rFonts w:hint="eastAsia" w:ascii="黑体" w:hAnsi="黑体" w:eastAsia="黑体" w:cs="黑体"/>
          <w:b w:val="0"/>
          <w:bCs w:val="0"/>
          <w:color w:val="auto"/>
          <w:kern w:val="32"/>
          <w:highlight w:val="none"/>
        </w:rPr>
        <w:t xml:space="preserve"> 纪律要求</w:t>
      </w:r>
    </w:p>
    <w:p>
      <w:pPr>
        <w:keepNext w:val="0"/>
        <w:keepLines w:val="0"/>
        <w:pageBreakBefore w:val="0"/>
        <w:widowControl w:val="0"/>
        <w:numPr>
          <w:ilvl w:val="0"/>
          <w:numId w:val="0"/>
        </w:numPr>
        <w:kinsoku/>
        <w:wordWrap/>
        <w:overflowPunct/>
        <w:topLinePunct w:val="0"/>
        <w:autoSpaceDE/>
        <w:autoSpaceDN/>
        <w:bidi w:val="0"/>
        <w:adjustRightInd/>
        <w:snapToGrid/>
        <w:spacing w:before="289" w:beforeLines="50" w:after="289" w:afterLines="50" w:line="640" w:lineRule="exact"/>
        <w:jc w:val="both"/>
        <w:textAlignment w:val="auto"/>
        <w:rPr>
          <w:rFonts w:hint="eastAsia" w:ascii="黑体" w:hAnsi="黑体" w:eastAsia="黑体" w:cs="黑体"/>
          <w:b w:val="0"/>
          <w:bCs w:val="0"/>
          <w:color w:val="auto"/>
          <w:kern w:val="32"/>
          <w:highlight w:val="none"/>
        </w:rPr>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eastAsia="仿宋_GB2312"/>
          <w:b w:val="0"/>
          <w:bCs w:val="0"/>
          <w:color w:val="auto"/>
          <w:kern w:val="32"/>
          <w:highlight w:val="none"/>
          <w:lang w:eastAsia="zh-CN"/>
        </w:rPr>
      </w:pPr>
      <w:r>
        <w:rPr>
          <w:rFonts w:hint="eastAsia" w:ascii="楷体_GB2312" w:hAnsi="楷体_GB2312" w:eastAsia="楷体_GB2312" w:cs="楷体_GB2312"/>
          <w:b w:val="0"/>
          <w:bCs w:val="0"/>
          <w:color w:val="auto"/>
          <w:highlight w:val="none"/>
          <w:lang w:eastAsia="zh-CN"/>
        </w:rPr>
        <w:t>第二十条</w:t>
      </w:r>
      <w:r>
        <w:rPr>
          <w:rFonts w:hint="eastAsia"/>
          <w:b w:val="0"/>
          <w:bCs w:val="0"/>
          <w:color w:val="auto"/>
          <w:kern w:val="32"/>
          <w:highlight w:val="none"/>
        </w:rPr>
        <w:t xml:space="preserve">  厉行勤俭节约。各单位应当严格控制会议住宿用房标准，以标准间为主；会议用餐安排自助餐或者工作餐，严格控制菜品种类和数量，不提供高档菜肴，不安排宴请，不上烟酒；会场一律不摆放花草，不制作背景板，</w:t>
      </w:r>
      <w:r>
        <w:rPr>
          <w:rFonts w:hint="eastAsia"/>
          <w:b w:val="0"/>
          <w:bCs w:val="0"/>
          <w:color w:val="auto"/>
          <w:kern w:val="32"/>
          <w:highlight w:val="none"/>
          <w:lang w:eastAsia="zh-CN"/>
        </w:rPr>
        <w:t>不提供水果。除一类会议外，原则上不发放文件袋、笔、笔记本等用品。严格控制纸质材料印发数量和范围，原则上不用彩印、铜版纸印刷。</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kern w:val="32"/>
          <w:highlight w:val="none"/>
          <w:lang w:eastAsia="zh-CN"/>
        </w:rPr>
      </w:pPr>
      <w:r>
        <w:rPr>
          <w:rFonts w:hint="eastAsia" w:ascii="楷体_GB2312" w:hAnsi="楷体_GB2312" w:eastAsia="楷体_GB2312" w:cs="楷体_GB2312"/>
          <w:b w:val="0"/>
          <w:bCs w:val="0"/>
          <w:color w:val="auto"/>
          <w:highlight w:val="none"/>
          <w:lang w:eastAsia="zh-CN"/>
        </w:rPr>
        <w:t>第二十一条</w:t>
      </w:r>
      <w:r>
        <w:rPr>
          <w:rFonts w:hint="eastAsia" w:ascii="黑体" w:hAnsi="黑体" w:eastAsia="黑体"/>
          <w:b w:val="0"/>
          <w:bCs w:val="0"/>
          <w:color w:val="auto"/>
          <w:kern w:val="32"/>
          <w:highlight w:val="none"/>
        </w:rPr>
        <w:t xml:space="preserve"> </w:t>
      </w:r>
      <w:r>
        <w:rPr>
          <w:rFonts w:hint="eastAsia"/>
          <w:b w:val="0"/>
          <w:bCs w:val="0"/>
          <w:color w:val="auto"/>
          <w:kern w:val="32"/>
          <w:highlight w:val="none"/>
        </w:rPr>
        <w:t xml:space="preserve"> 严格经费开支。严禁使用会议费购置电脑、复印机、打印机、传真机等</w:t>
      </w:r>
      <w:r>
        <w:rPr>
          <w:rFonts w:hint="eastAsia"/>
          <w:b w:val="0"/>
          <w:bCs w:val="0"/>
          <w:color w:val="auto"/>
          <w:kern w:val="32"/>
          <w:highlight w:val="none"/>
          <w:lang w:eastAsia="zh-CN"/>
        </w:rPr>
        <w:t>办公设备</w:t>
      </w:r>
      <w:r>
        <w:rPr>
          <w:rFonts w:hint="eastAsia"/>
          <w:b w:val="0"/>
          <w:bCs w:val="0"/>
          <w:color w:val="auto"/>
          <w:kern w:val="32"/>
          <w:highlight w:val="none"/>
        </w:rPr>
        <w:t>以及开支与本次会议无关的其他费用；严禁组织会议代表旅游和与会议无关的参观；严禁组织高消费娱乐、健身活动；严禁以任何名义发放纪念品；严禁额外配发洗漱用品；严禁借会议名义组织会餐；严禁套取会议资金；严禁在会议费中列支公务接待费等费用</w:t>
      </w:r>
      <w:r>
        <w:rPr>
          <w:rFonts w:hint="eastAsia"/>
          <w:b w:val="0"/>
          <w:bCs w:val="0"/>
          <w:color w:val="auto"/>
          <w:kern w:val="32"/>
          <w:highlight w:val="none"/>
          <w:lang w:eastAsia="zh-CN"/>
        </w:rPr>
        <w:t>；严禁以培训名义召开会议。</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kern w:val="32"/>
          <w:highlight w:val="none"/>
        </w:rPr>
      </w:pPr>
      <w:r>
        <w:rPr>
          <w:rFonts w:hint="eastAsia" w:ascii="楷体_GB2312" w:hAnsi="楷体_GB2312" w:eastAsia="楷体_GB2312" w:cs="楷体_GB2312"/>
          <w:b w:val="0"/>
          <w:bCs w:val="0"/>
          <w:color w:val="auto"/>
          <w:highlight w:val="none"/>
          <w:lang w:eastAsia="zh-CN"/>
        </w:rPr>
        <w:t xml:space="preserve">第二十二条 </w:t>
      </w:r>
      <w:r>
        <w:rPr>
          <w:rFonts w:hint="eastAsia"/>
          <w:b w:val="0"/>
          <w:bCs w:val="0"/>
          <w:color w:val="auto"/>
          <w:kern w:val="32"/>
          <w:highlight w:val="none"/>
        </w:rPr>
        <w:t xml:space="preserve"> 严禁费用转嫁。会议费由会议召开单位承担，不得向参会人员收取，不得以任何方式向下属机构、企事业单位、区市转嫁或者摊派。承办上级业务主管部门指派会议所发生的会议费，按照“谁举办、谁承担”的支出原则，由承办单位协调上级部门解决，市级</w:t>
      </w:r>
      <w:r>
        <w:rPr>
          <w:rFonts w:hint="eastAsia"/>
          <w:b w:val="0"/>
          <w:bCs w:val="0"/>
          <w:color w:val="auto"/>
          <w:kern w:val="32"/>
          <w:highlight w:val="none"/>
          <w:lang w:eastAsia="zh-CN"/>
        </w:rPr>
        <w:t>财政</w:t>
      </w:r>
      <w:r>
        <w:rPr>
          <w:rFonts w:hint="eastAsia"/>
          <w:b w:val="0"/>
          <w:bCs w:val="0"/>
          <w:color w:val="auto"/>
          <w:kern w:val="32"/>
          <w:highlight w:val="none"/>
        </w:rPr>
        <w:t>原则上不</w:t>
      </w:r>
      <w:r>
        <w:rPr>
          <w:rFonts w:hint="eastAsia"/>
          <w:b w:val="0"/>
          <w:bCs w:val="0"/>
          <w:color w:val="auto"/>
          <w:kern w:val="32"/>
          <w:highlight w:val="none"/>
          <w:lang w:eastAsia="zh-CN"/>
        </w:rPr>
        <w:t>单独</w:t>
      </w:r>
      <w:r>
        <w:rPr>
          <w:rFonts w:hint="eastAsia"/>
          <w:b w:val="0"/>
          <w:bCs w:val="0"/>
          <w:color w:val="auto"/>
          <w:kern w:val="32"/>
          <w:highlight w:val="none"/>
        </w:rPr>
        <w:t>安排承办单位有关会议支出。同级多个部门联合召开的会议，会议主办单位可以和相关单位协商，在会议费标准内采取分担方式予以解决。</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hAnsi="宋体"/>
          <w:b w:val="0"/>
          <w:bCs w:val="0"/>
          <w:color w:val="auto"/>
          <w:kern w:val="32"/>
          <w:highlight w:val="none"/>
        </w:rPr>
      </w:pPr>
      <w:r>
        <w:rPr>
          <w:rFonts w:hint="eastAsia" w:ascii="楷体_GB2312" w:hAnsi="楷体_GB2312" w:eastAsia="楷体_GB2312" w:cs="楷体_GB2312"/>
          <w:b w:val="0"/>
          <w:bCs w:val="0"/>
          <w:color w:val="auto"/>
          <w:highlight w:val="none"/>
          <w:lang w:eastAsia="zh-CN"/>
        </w:rPr>
        <w:t xml:space="preserve">第二十三条 </w:t>
      </w:r>
      <w:r>
        <w:rPr>
          <w:rFonts w:hint="eastAsia" w:hAnsi="宋体"/>
          <w:b w:val="0"/>
          <w:bCs w:val="0"/>
          <w:color w:val="auto"/>
          <w:kern w:val="32"/>
          <w:highlight w:val="none"/>
        </w:rPr>
        <w:t xml:space="preserve"> 履行保密及公开责任。各单位应当加强涉密会议安全和保密管理，落实网络安全工作责任制，强化网络安全技术防护措施，选择安全可靠的应用系统，督促系统服务供应商严格落实安全保密责任，加强对运维人员、技术服务人员日常保密教育和监督，定期开展终端设备和涉密场所保密检查，妥善保管会议音视频等材料，切实做好安全保障工作。</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kern w:val="32"/>
          <w:highlight w:val="none"/>
        </w:rPr>
      </w:pPr>
      <w:r>
        <w:rPr>
          <w:rFonts w:hint="eastAsia"/>
          <w:b w:val="0"/>
          <w:bCs w:val="0"/>
          <w:color w:val="auto"/>
          <w:kern w:val="32"/>
          <w:highlight w:val="none"/>
        </w:rPr>
        <w:t>各单位应当将非涉密会议名称、主要内容、参会人数、经费开支等情况在本单位内部公示或提供查询，具备条件的应向社会公开。</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ascii="黑体" w:eastAsia="黑体"/>
          <w:b w:val="0"/>
          <w:bCs w:val="0"/>
          <w:color w:val="auto"/>
          <w:highlight w:val="none"/>
        </w:rPr>
      </w:pPr>
      <w:r>
        <w:rPr>
          <w:rFonts w:hint="eastAsia" w:ascii="黑体" w:eastAsia="黑体"/>
          <w:b w:val="0"/>
          <w:bCs w:val="0"/>
          <w:color w:val="auto"/>
          <w:highlight w:val="none"/>
        </w:rPr>
        <w:t>第</w:t>
      </w:r>
      <w:r>
        <w:rPr>
          <w:rFonts w:hint="eastAsia" w:ascii="黑体" w:eastAsia="黑体"/>
          <w:b w:val="0"/>
          <w:bCs w:val="0"/>
          <w:color w:val="auto"/>
          <w:highlight w:val="none"/>
          <w:lang w:eastAsia="zh-CN"/>
        </w:rPr>
        <w:t>六</w:t>
      </w:r>
      <w:r>
        <w:rPr>
          <w:rFonts w:hint="eastAsia" w:ascii="黑体" w:eastAsia="黑体"/>
          <w:b w:val="0"/>
          <w:bCs w:val="0"/>
          <w:color w:val="auto"/>
          <w:highlight w:val="none"/>
        </w:rPr>
        <w:t>章　监督检查与责任追究</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第二十四条</w:t>
      </w:r>
      <w:r>
        <w:rPr>
          <w:rFonts w:hint="eastAsia"/>
          <w:b w:val="0"/>
          <w:bCs w:val="0"/>
          <w:color w:val="auto"/>
          <w:highlight w:val="none"/>
        </w:rPr>
        <w:t>　纪检监察机关、财政部门、审计部门、机关事务管理部门对各单位会议费管理和使用情况进行监督。主要内容包括：</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（一）会议计划的编报、审批和执行情况；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（二）会议费开支范围和开支标准执行情况；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（三）会议费报销和支付情况；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（四）会议会期、规模、定点召开情况；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（五）是否存在会议费转嫁、摊派情况；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（六）会议费管理和使用的其他情况。</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第二十五条</w:t>
      </w:r>
      <w:r>
        <w:rPr>
          <w:rFonts w:hint="eastAsia"/>
          <w:b w:val="0"/>
          <w:bCs w:val="0"/>
          <w:color w:val="auto"/>
          <w:highlight w:val="none"/>
        </w:rPr>
        <w:t>　违反本办法规定，有下列行为之一的，依规</w:t>
      </w:r>
      <w:r>
        <w:rPr>
          <w:rFonts w:hint="eastAsia"/>
          <w:b w:val="0"/>
          <w:bCs w:val="0"/>
          <w:color w:val="auto"/>
          <w:highlight w:val="none"/>
          <w:lang w:eastAsia="zh-CN"/>
        </w:rPr>
        <w:t>依纪依法</w:t>
      </w:r>
      <w:r>
        <w:rPr>
          <w:rFonts w:hint="eastAsia"/>
          <w:b w:val="0"/>
          <w:bCs w:val="0"/>
          <w:color w:val="auto"/>
          <w:highlight w:val="none"/>
        </w:rPr>
        <w:t>追究会议举办单位和相关人员的责任</w:t>
      </w:r>
      <w:r>
        <w:rPr>
          <w:b w:val="0"/>
          <w:bCs w:val="0"/>
          <w:color w:val="auto"/>
          <w:highlight w:val="none"/>
        </w:rPr>
        <w:t>:</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（一）</w:t>
      </w:r>
      <w:r>
        <w:rPr>
          <w:rFonts w:hint="eastAsia"/>
          <w:b w:val="0"/>
          <w:bCs w:val="0"/>
          <w:color w:val="auto"/>
          <w:highlight w:val="none"/>
          <w:lang w:eastAsia="zh-CN"/>
        </w:rPr>
        <w:t>未经批准、未列入会议</w:t>
      </w:r>
      <w:r>
        <w:rPr>
          <w:b w:val="0"/>
          <w:bCs w:val="0"/>
          <w:color w:val="auto"/>
          <w:highlight w:val="none"/>
        </w:rPr>
        <w:t>计划召开会议的；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（二）以虚报、冒领手段骗取会议费的；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（三）虚报会议人数、天数等进行报销的；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（四）违规扩大会议费开支范围，擅自提高会议费开支标准的；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（五）违规报销与会议无关费用的；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b w:val="0"/>
          <w:bCs w:val="0"/>
          <w:color w:val="auto"/>
          <w:highlight w:val="none"/>
        </w:rPr>
        <w:t>（六）其他违反本办法行为的。</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r>
        <w:rPr>
          <w:rFonts w:hint="eastAsia"/>
          <w:b w:val="0"/>
          <w:bCs w:val="0"/>
          <w:color w:val="auto"/>
          <w:highlight w:val="none"/>
        </w:rPr>
        <w:t>有上述所列行为之一的，由市财政局会同有关部门责令改正</w:t>
      </w:r>
      <w:r>
        <w:rPr>
          <w:b w:val="0"/>
          <w:bCs w:val="0"/>
          <w:color w:val="auto"/>
          <w:highlight w:val="none"/>
        </w:rPr>
        <w:t>，追回资金，并经报批后予以通报。对直接负责的主管人员和相关责任人，报请其所在单位给予相应处分。涉嫌</w:t>
      </w:r>
      <w:r>
        <w:rPr>
          <w:rFonts w:hint="eastAsia"/>
          <w:b w:val="0"/>
          <w:bCs w:val="0"/>
          <w:color w:val="auto"/>
          <w:highlight w:val="none"/>
          <w:lang w:eastAsia="zh-CN"/>
        </w:rPr>
        <w:t>违纪</w:t>
      </w:r>
      <w:r>
        <w:rPr>
          <w:b w:val="0"/>
          <w:bCs w:val="0"/>
          <w:color w:val="auto"/>
          <w:highlight w:val="none"/>
        </w:rPr>
        <w:t>违法的，移交</w:t>
      </w:r>
      <w:r>
        <w:rPr>
          <w:rFonts w:hint="eastAsia"/>
          <w:b w:val="0"/>
          <w:bCs w:val="0"/>
          <w:color w:val="auto"/>
          <w:highlight w:val="none"/>
          <w:lang w:eastAsia="zh-CN"/>
        </w:rPr>
        <w:t>有关</w:t>
      </w:r>
      <w:r>
        <w:rPr>
          <w:b w:val="0"/>
          <w:bCs w:val="0"/>
          <w:color w:val="auto"/>
          <w:highlight w:val="none"/>
        </w:rPr>
        <w:t>机关处理。</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ascii="黑体" w:eastAsia="黑体"/>
          <w:b w:val="0"/>
          <w:bCs w:val="0"/>
          <w:color w:val="auto"/>
          <w:highlight w:val="none"/>
        </w:rPr>
      </w:pPr>
      <w:r>
        <w:rPr>
          <w:rFonts w:hint="eastAsia" w:ascii="黑体" w:eastAsia="黑体"/>
          <w:b w:val="0"/>
          <w:bCs w:val="0"/>
          <w:color w:val="auto"/>
          <w:highlight w:val="none"/>
        </w:rPr>
        <w:t>第</w:t>
      </w:r>
      <w:r>
        <w:rPr>
          <w:rFonts w:hint="eastAsia" w:ascii="黑体" w:eastAsia="黑体"/>
          <w:b w:val="0"/>
          <w:bCs w:val="0"/>
          <w:color w:val="auto"/>
          <w:highlight w:val="none"/>
          <w:lang w:eastAsia="zh-CN"/>
        </w:rPr>
        <w:t>七</w:t>
      </w:r>
      <w:r>
        <w:rPr>
          <w:rFonts w:hint="eastAsia" w:ascii="黑体" w:eastAsia="黑体"/>
          <w:b w:val="0"/>
          <w:bCs w:val="0"/>
          <w:color w:val="auto"/>
          <w:highlight w:val="none"/>
        </w:rPr>
        <w:t>章　附</w:t>
      </w:r>
      <w:r>
        <w:rPr>
          <w:rFonts w:hint="eastAsia" w:ascii="黑体" w:eastAsia="黑体"/>
          <w:b w:val="0"/>
          <w:bCs w:val="0"/>
          <w:color w:val="auto"/>
          <w:highlight w:val="none"/>
          <w:lang w:val="en-US" w:eastAsia="zh-CN"/>
        </w:rPr>
        <w:t xml:space="preserve"> </w:t>
      </w:r>
      <w:r>
        <w:rPr>
          <w:rFonts w:hint="eastAsia" w:ascii="黑体" w:eastAsia="黑体"/>
          <w:b w:val="0"/>
          <w:bCs w:val="0"/>
          <w:color w:val="auto"/>
          <w:highlight w:val="none"/>
        </w:rPr>
        <w:t>则</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rFonts w:hint="eastAsia"/>
          <w:b w:val="0"/>
          <w:bCs w:val="0"/>
          <w:color w:val="auto"/>
          <w:highlight w:val="none"/>
        </w:rPr>
      </w:pP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第二十六条</w:t>
      </w:r>
      <w:r>
        <w:rPr>
          <w:rFonts w:hint="eastAsia"/>
          <w:b w:val="0"/>
          <w:bCs w:val="0"/>
          <w:color w:val="auto"/>
          <w:highlight w:val="none"/>
        </w:rPr>
        <w:t>　各单位应当按照本办法规定，结合本单位业务特点和工作需要，制定单位内部会议费管理具体规定。</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第二十七条</w:t>
      </w:r>
      <w:r>
        <w:rPr>
          <w:rFonts w:hint="eastAsia"/>
          <w:b w:val="0"/>
          <w:bCs w:val="0"/>
          <w:color w:val="auto"/>
          <w:highlight w:val="none"/>
        </w:rPr>
        <w:t>　不参照公务员法管理的事业单位会议费管理参照本办法执行。</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第二十八条</w:t>
      </w:r>
      <w:r>
        <w:rPr>
          <w:rFonts w:hint="eastAsia"/>
          <w:b w:val="0"/>
          <w:bCs w:val="0"/>
          <w:color w:val="auto"/>
          <w:highlight w:val="none"/>
        </w:rPr>
        <w:t>　本办法由市财政局负责解释。</w:t>
      </w:r>
    </w:p>
    <w:p>
      <w:pPr>
        <w:keepNext w:val="0"/>
        <w:keepLines w:val="0"/>
        <w:pageBreakBefore w:val="0"/>
        <w:widowControl w:val="0"/>
        <w:kinsoku/>
        <w:wordWrap/>
        <w:overflowPunct/>
        <w:topLinePunct w:val="0"/>
        <w:autoSpaceDE/>
        <w:autoSpaceDN/>
        <w:bidi w:val="0"/>
        <w:adjustRightInd/>
        <w:snapToGrid/>
        <w:spacing w:line="640" w:lineRule="exact"/>
        <w:ind w:firstLine="640" w:firstLineChars="200"/>
        <w:textAlignment w:val="auto"/>
        <w:rPr>
          <w:b w:val="0"/>
          <w:bCs w:val="0"/>
          <w:color w:val="auto"/>
          <w:highlight w:val="none"/>
        </w:rPr>
      </w:pPr>
      <w:r>
        <w:rPr>
          <w:rFonts w:hint="eastAsia" w:ascii="楷体_GB2312" w:hAnsi="楷体_GB2312" w:eastAsia="楷体_GB2312" w:cs="楷体_GB2312"/>
          <w:b w:val="0"/>
          <w:bCs w:val="0"/>
          <w:color w:val="auto"/>
          <w:highlight w:val="none"/>
          <w:lang w:eastAsia="zh-CN"/>
        </w:rPr>
        <w:t>第二十九条</w:t>
      </w:r>
      <w:r>
        <w:rPr>
          <w:b w:val="0"/>
          <w:bCs w:val="0"/>
          <w:color w:val="auto"/>
          <w:highlight w:val="none"/>
        </w:rPr>
        <w:t xml:space="preserve">  本办法自发布之日起</w:t>
      </w:r>
      <w:r>
        <w:rPr>
          <w:rFonts w:hint="eastAsia"/>
          <w:b w:val="0"/>
          <w:bCs w:val="0"/>
          <w:color w:val="auto"/>
          <w:highlight w:val="none"/>
          <w:lang w:eastAsia="zh-CN"/>
        </w:rPr>
        <w:t>施行</w:t>
      </w:r>
      <w:r>
        <w:rPr>
          <w:b w:val="0"/>
          <w:bCs w:val="0"/>
          <w:color w:val="auto"/>
          <w:highlight w:val="none"/>
        </w:rPr>
        <w:t>。</w:t>
      </w:r>
      <w:r>
        <w:rPr>
          <w:rFonts w:hint="eastAsia"/>
          <w:b w:val="0"/>
          <w:bCs w:val="0"/>
          <w:color w:val="auto"/>
          <w:highlight w:val="none"/>
          <w:lang w:eastAsia="zh-CN"/>
        </w:rPr>
        <w:t>此前有关规定与本办法不一致的，以本办法为准。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1272E82"/>
    <w:multiLevelType w:val="singleLevel"/>
    <w:tmpl w:val="F1272E82"/>
    <w:lvl w:ilvl="0" w:tentative="0">
      <w:start w:val="2"/>
      <w:numFmt w:val="chineseCounting"/>
      <w:suff w:val="nothing"/>
      <w:lvlText w:val="（%1）"/>
      <w:lvlJc w:val="left"/>
      <w:rPr>
        <w:rFonts w:hint="eastAsia"/>
      </w:rPr>
    </w:lvl>
  </w:abstractNum>
  <w:abstractNum w:abstractNumId="1">
    <w:nsid w:val="FEA3E4B0"/>
    <w:multiLevelType w:val="singleLevel"/>
    <w:tmpl w:val="FEA3E4B0"/>
    <w:lvl w:ilvl="0" w:tentative="0">
      <w:start w:val="1"/>
      <w:numFmt w:val="chineseCounting"/>
      <w:suff w:val="nothing"/>
      <w:lvlText w:val="（%1）"/>
      <w:lvlJc w:val="left"/>
      <w:rPr>
        <w:rFonts w:hint="eastAsia"/>
      </w:rPr>
    </w:lvl>
  </w:abstractNum>
  <w:abstractNum w:abstractNumId="2">
    <w:nsid w:val="7A5BE7D7"/>
    <w:multiLevelType w:val="singleLevel"/>
    <w:tmpl w:val="7A5BE7D7"/>
    <w:lvl w:ilvl="0" w:tentative="0">
      <w:start w:val="5"/>
      <w:numFmt w:val="chineseCounting"/>
      <w:suff w:val="space"/>
      <w:lvlText w:val="第%1章"/>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6355F5"/>
    <w:rsid w:val="00060C7F"/>
    <w:rsid w:val="006C7A45"/>
    <w:rsid w:val="01335A9E"/>
    <w:rsid w:val="01751E8F"/>
    <w:rsid w:val="01806129"/>
    <w:rsid w:val="01DA3B59"/>
    <w:rsid w:val="02234592"/>
    <w:rsid w:val="02C7004C"/>
    <w:rsid w:val="02D736B4"/>
    <w:rsid w:val="03340675"/>
    <w:rsid w:val="03700ADF"/>
    <w:rsid w:val="03F91BD0"/>
    <w:rsid w:val="040A048F"/>
    <w:rsid w:val="044D6988"/>
    <w:rsid w:val="04AF6E73"/>
    <w:rsid w:val="04C07C19"/>
    <w:rsid w:val="04C41C71"/>
    <w:rsid w:val="055A7345"/>
    <w:rsid w:val="055E6C49"/>
    <w:rsid w:val="05B8062B"/>
    <w:rsid w:val="06137096"/>
    <w:rsid w:val="077B014C"/>
    <w:rsid w:val="078138D7"/>
    <w:rsid w:val="0783102F"/>
    <w:rsid w:val="07C56BF6"/>
    <w:rsid w:val="07F41A96"/>
    <w:rsid w:val="090910D4"/>
    <w:rsid w:val="09DE7B6A"/>
    <w:rsid w:val="0A902E0D"/>
    <w:rsid w:val="0B701B1A"/>
    <w:rsid w:val="0B8B19B7"/>
    <w:rsid w:val="0B992A0F"/>
    <w:rsid w:val="0BEF79AF"/>
    <w:rsid w:val="0C7A4597"/>
    <w:rsid w:val="0CFD34E4"/>
    <w:rsid w:val="0E8A7A7E"/>
    <w:rsid w:val="0E930D25"/>
    <w:rsid w:val="0EE5353A"/>
    <w:rsid w:val="0F000441"/>
    <w:rsid w:val="0F334B32"/>
    <w:rsid w:val="0F7458AA"/>
    <w:rsid w:val="0FB9641A"/>
    <w:rsid w:val="10B65094"/>
    <w:rsid w:val="112E41B3"/>
    <w:rsid w:val="11764201"/>
    <w:rsid w:val="11AB4155"/>
    <w:rsid w:val="12353927"/>
    <w:rsid w:val="129B45C9"/>
    <w:rsid w:val="12CF75DD"/>
    <w:rsid w:val="13517611"/>
    <w:rsid w:val="14095ADF"/>
    <w:rsid w:val="14E76997"/>
    <w:rsid w:val="15E432E2"/>
    <w:rsid w:val="16055127"/>
    <w:rsid w:val="16906C11"/>
    <w:rsid w:val="16ED74FF"/>
    <w:rsid w:val="17001B9D"/>
    <w:rsid w:val="170E6253"/>
    <w:rsid w:val="180D319B"/>
    <w:rsid w:val="18142029"/>
    <w:rsid w:val="187C2D8D"/>
    <w:rsid w:val="18B34FAD"/>
    <w:rsid w:val="190522CC"/>
    <w:rsid w:val="19894DA9"/>
    <w:rsid w:val="19C17B92"/>
    <w:rsid w:val="19E42083"/>
    <w:rsid w:val="1A6355F5"/>
    <w:rsid w:val="1B9F6A30"/>
    <w:rsid w:val="1C0D6A51"/>
    <w:rsid w:val="1CB87037"/>
    <w:rsid w:val="1D34601C"/>
    <w:rsid w:val="1D35DB60"/>
    <w:rsid w:val="1D5962E3"/>
    <w:rsid w:val="1DA407A1"/>
    <w:rsid w:val="1DAE1741"/>
    <w:rsid w:val="1E6D4BDB"/>
    <w:rsid w:val="1F41205B"/>
    <w:rsid w:val="1F4B641E"/>
    <w:rsid w:val="1F7079AD"/>
    <w:rsid w:val="1FD94E30"/>
    <w:rsid w:val="21547452"/>
    <w:rsid w:val="22494304"/>
    <w:rsid w:val="22AC48E9"/>
    <w:rsid w:val="23A75AA1"/>
    <w:rsid w:val="24A71EC3"/>
    <w:rsid w:val="250552D1"/>
    <w:rsid w:val="256C3C01"/>
    <w:rsid w:val="257A9A1C"/>
    <w:rsid w:val="25D03C74"/>
    <w:rsid w:val="261C2848"/>
    <w:rsid w:val="271E5B3D"/>
    <w:rsid w:val="27CA22F0"/>
    <w:rsid w:val="28AF0EAA"/>
    <w:rsid w:val="29E8081D"/>
    <w:rsid w:val="2A5303FE"/>
    <w:rsid w:val="2AD83755"/>
    <w:rsid w:val="2B15114A"/>
    <w:rsid w:val="2B42292B"/>
    <w:rsid w:val="2B6517BD"/>
    <w:rsid w:val="2B6E2477"/>
    <w:rsid w:val="2B7D2A7A"/>
    <w:rsid w:val="2B9D55B1"/>
    <w:rsid w:val="2CD03F4C"/>
    <w:rsid w:val="2CDB358D"/>
    <w:rsid w:val="2D0D4B84"/>
    <w:rsid w:val="2D2A2A27"/>
    <w:rsid w:val="2DC02212"/>
    <w:rsid w:val="2DE81F4C"/>
    <w:rsid w:val="2E4E1757"/>
    <w:rsid w:val="30782C93"/>
    <w:rsid w:val="30887CC2"/>
    <w:rsid w:val="310968E9"/>
    <w:rsid w:val="31242EAD"/>
    <w:rsid w:val="32272701"/>
    <w:rsid w:val="32BB07E8"/>
    <w:rsid w:val="333B186A"/>
    <w:rsid w:val="333C72D0"/>
    <w:rsid w:val="335B4461"/>
    <w:rsid w:val="35AA214F"/>
    <w:rsid w:val="36776482"/>
    <w:rsid w:val="36FB40DA"/>
    <w:rsid w:val="372B335B"/>
    <w:rsid w:val="37760059"/>
    <w:rsid w:val="379B6537"/>
    <w:rsid w:val="380F687C"/>
    <w:rsid w:val="38163E2F"/>
    <w:rsid w:val="38CC1730"/>
    <w:rsid w:val="38EE2620"/>
    <w:rsid w:val="3A764448"/>
    <w:rsid w:val="3BA61F23"/>
    <w:rsid w:val="3BFF7008"/>
    <w:rsid w:val="3D291D10"/>
    <w:rsid w:val="3E7E3EBC"/>
    <w:rsid w:val="3EDC00A1"/>
    <w:rsid w:val="3F485D73"/>
    <w:rsid w:val="3FA40A31"/>
    <w:rsid w:val="40614500"/>
    <w:rsid w:val="40D0373D"/>
    <w:rsid w:val="40D55059"/>
    <w:rsid w:val="40F37165"/>
    <w:rsid w:val="41026F71"/>
    <w:rsid w:val="42567EC3"/>
    <w:rsid w:val="42C52F8A"/>
    <w:rsid w:val="43057B04"/>
    <w:rsid w:val="434C1172"/>
    <w:rsid w:val="440F030E"/>
    <w:rsid w:val="449A6F26"/>
    <w:rsid w:val="45A06433"/>
    <w:rsid w:val="46703268"/>
    <w:rsid w:val="467F7F9F"/>
    <w:rsid w:val="46850709"/>
    <w:rsid w:val="46A37D78"/>
    <w:rsid w:val="46E86D7B"/>
    <w:rsid w:val="483944A0"/>
    <w:rsid w:val="485255DA"/>
    <w:rsid w:val="48F9286B"/>
    <w:rsid w:val="49401257"/>
    <w:rsid w:val="4A516023"/>
    <w:rsid w:val="4ABA0FC7"/>
    <w:rsid w:val="4ABD43FE"/>
    <w:rsid w:val="4ACE4414"/>
    <w:rsid w:val="4AF938B4"/>
    <w:rsid w:val="4B673EC2"/>
    <w:rsid w:val="4B7A5A4A"/>
    <w:rsid w:val="4B8C3B37"/>
    <w:rsid w:val="4BB87898"/>
    <w:rsid w:val="4C51013E"/>
    <w:rsid w:val="4C5F6688"/>
    <w:rsid w:val="4CF711A7"/>
    <w:rsid w:val="4D715A40"/>
    <w:rsid w:val="4D78307A"/>
    <w:rsid w:val="4DDD36AF"/>
    <w:rsid w:val="4E48742F"/>
    <w:rsid w:val="4E722FED"/>
    <w:rsid w:val="4EAD6848"/>
    <w:rsid w:val="4F952954"/>
    <w:rsid w:val="4FDF9F31"/>
    <w:rsid w:val="4FF62DBD"/>
    <w:rsid w:val="505A3B7B"/>
    <w:rsid w:val="51950B3C"/>
    <w:rsid w:val="51A71C47"/>
    <w:rsid w:val="527A24DD"/>
    <w:rsid w:val="527F1C01"/>
    <w:rsid w:val="53A846A5"/>
    <w:rsid w:val="548223E9"/>
    <w:rsid w:val="54AA790E"/>
    <w:rsid w:val="54BA455C"/>
    <w:rsid w:val="553308E6"/>
    <w:rsid w:val="55A71000"/>
    <w:rsid w:val="56A25246"/>
    <w:rsid w:val="576B0643"/>
    <w:rsid w:val="577D2316"/>
    <w:rsid w:val="57E02FAE"/>
    <w:rsid w:val="591724C1"/>
    <w:rsid w:val="59375649"/>
    <w:rsid w:val="595F5D2A"/>
    <w:rsid w:val="59890EDD"/>
    <w:rsid w:val="59CB5A04"/>
    <w:rsid w:val="5A6B5155"/>
    <w:rsid w:val="5AAD0A50"/>
    <w:rsid w:val="5B0A1425"/>
    <w:rsid w:val="5B5C0A9E"/>
    <w:rsid w:val="5B7C3213"/>
    <w:rsid w:val="5BC26250"/>
    <w:rsid w:val="5BD44E12"/>
    <w:rsid w:val="5BFF9DD4"/>
    <w:rsid w:val="5DA1406F"/>
    <w:rsid w:val="5DF61195"/>
    <w:rsid w:val="5DF729C3"/>
    <w:rsid w:val="5F0D377F"/>
    <w:rsid w:val="5F706748"/>
    <w:rsid w:val="60CE6949"/>
    <w:rsid w:val="614B1D16"/>
    <w:rsid w:val="615E41B5"/>
    <w:rsid w:val="61CB2355"/>
    <w:rsid w:val="62452758"/>
    <w:rsid w:val="62906407"/>
    <w:rsid w:val="62A64DF6"/>
    <w:rsid w:val="62B75408"/>
    <w:rsid w:val="63712CE6"/>
    <w:rsid w:val="63B44293"/>
    <w:rsid w:val="647A0FC9"/>
    <w:rsid w:val="64A566E9"/>
    <w:rsid w:val="659E4DFF"/>
    <w:rsid w:val="65A25F0B"/>
    <w:rsid w:val="662E0390"/>
    <w:rsid w:val="666078CA"/>
    <w:rsid w:val="666B13E8"/>
    <w:rsid w:val="66E827DA"/>
    <w:rsid w:val="680D653C"/>
    <w:rsid w:val="681F781C"/>
    <w:rsid w:val="68546C41"/>
    <w:rsid w:val="68573057"/>
    <w:rsid w:val="687D5E53"/>
    <w:rsid w:val="68DF6587"/>
    <w:rsid w:val="691150A5"/>
    <w:rsid w:val="69BC65F9"/>
    <w:rsid w:val="6A65081B"/>
    <w:rsid w:val="6B595E67"/>
    <w:rsid w:val="6B68206D"/>
    <w:rsid w:val="6BA70A62"/>
    <w:rsid w:val="6BC849BC"/>
    <w:rsid w:val="6BCE1818"/>
    <w:rsid w:val="6C233DC5"/>
    <w:rsid w:val="6CAA4FA3"/>
    <w:rsid w:val="6CB32589"/>
    <w:rsid w:val="6D1729C4"/>
    <w:rsid w:val="6D914DB5"/>
    <w:rsid w:val="6F6A1B41"/>
    <w:rsid w:val="6F9D3793"/>
    <w:rsid w:val="6FA13951"/>
    <w:rsid w:val="6FBB7D15"/>
    <w:rsid w:val="6FD440AD"/>
    <w:rsid w:val="6FF15630"/>
    <w:rsid w:val="705A330B"/>
    <w:rsid w:val="707E61D5"/>
    <w:rsid w:val="70A44ED7"/>
    <w:rsid w:val="70E32EE7"/>
    <w:rsid w:val="70F03554"/>
    <w:rsid w:val="720020BB"/>
    <w:rsid w:val="72A12099"/>
    <w:rsid w:val="737919F8"/>
    <w:rsid w:val="73FC183A"/>
    <w:rsid w:val="75D24BCA"/>
    <w:rsid w:val="76404CB3"/>
    <w:rsid w:val="764610A4"/>
    <w:rsid w:val="764772D3"/>
    <w:rsid w:val="766806A9"/>
    <w:rsid w:val="767308C1"/>
    <w:rsid w:val="76765A2A"/>
    <w:rsid w:val="76854F1C"/>
    <w:rsid w:val="76FC158E"/>
    <w:rsid w:val="776922B9"/>
    <w:rsid w:val="78BFF2E4"/>
    <w:rsid w:val="797E4135"/>
    <w:rsid w:val="79D244E5"/>
    <w:rsid w:val="79EE2553"/>
    <w:rsid w:val="79F663AD"/>
    <w:rsid w:val="7A10797F"/>
    <w:rsid w:val="7ACF5FCC"/>
    <w:rsid w:val="7B191923"/>
    <w:rsid w:val="7B3F7F25"/>
    <w:rsid w:val="7B3FDAF4"/>
    <w:rsid w:val="7B555659"/>
    <w:rsid w:val="7B6646B5"/>
    <w:rsid w:val="7BEA7891"/>
    <w:rsid w:val="7C9CA124"/>
    <w:rsid w:val="7CE35C97"/>
    <w:rsid w:val="7D638144"/>
    <w:rsid w:val="7DA5559E"/>
    <w:rsid w:val="7DBCD1AE"/>
    <w:rsid w:val="7DFBF3FB"/>
    <w:rsid w:val="7E940171"/>
    <w:rsid w:val="7E9829A6"/>
    <w:rsid w:val="7FB686D4"/>
    <w:rsid w:val="7FBD1C9B"/>
    <w:rsid w:val="7FE11AC0"/>
    <w:rsid w:val="87EA5773"/>
    <w:rsid w:val="959BA0B5"/>
    <w:rsid w:val="AECF3B8B"/>
    <w:rsid w:val="B3BC4ECA"/>
    <w:rsid w:val="BF7D5309"/>
    <w:rsid w:val="BFBD8401"/>
    <w:rsid w:val="BFFD173A"/>
    <w:rsid w:val="D74F37AB"/>
    <w:rsid w:val="DD7FEB51"/>
    <w:rsid w:val="DFED9B69"/>
    <w:rsid w:val="EBFF0B1A"/>
    <w:rsid w:val="ED5769C6"/>
    <w:rsid w:val="F5B7CF20"/>
    <w:rsid w:val="F5F32928"/>
    <w:rsid w:val="F7ED6868"/>
    <w:rsid w:val="FB47CF39"/>
    <w:rsid w:val="FB5F3148"/>
    <w:rsid w:val="FF3E43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imes New Roman"/>
      <w:kern w:val="2"/>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2025-07-17T04:04:00Z</dcterms:created>
  <dc:creator>adminis</dc:creator>
  <cp:lastModifiedBy>adminis</cp:lastModifiedBy>
  <cp:lastPrinted>2025-10-10T07:09:31Z</cp:lastPrinted>
  <dcterms:modified xsi:type="dcterms:W3CDTF">2025-10-10T07:52:24Z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