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92D2A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0"/>
        <w:jc w:val="center"/>
        <w:textAlignment w:val="center"/>
        <w:rPr>
          <w:rFonts w:hint="eastAsia" w:ascii="微软雅黑" w:hAnsi="微软雅黑" w:eastAsia="微软雅黑" w:cs="微软雅黑"/>
          <w:i w:val="0"/>
          <w:iCs w:val="0"/>
          <w:caps w:val="0"/>
          <w:color w:val="212529"/>
          <w:spacing w:val="0"/>
          <w:sz w:val="24"/>
          <w:szCs w:val="24"/>
        </w:rPr>
      </w:pPr>
      <w:r>
        <w:rPr>
          <w:rFonts w:ascii="方正小标宋简体" w:hAnsi="方正小标宋简体" w:eastAsia="方正小标宋简体" w:cs="方正小标宋简体"/>
          <w:i w:val="0"/>
          <w:iCs w:val="0"/>
          <w:caps w:val="0"/>
          <w:color w:val="212529"/>
          <w:spacing w:val="0"/>
          <w:sz w:val="43"/>
          <w:szCs w:val="43"/>
          <w:bdr w:val="none" w:color="auto" w:sz="0" w:space="0"/>
          <w:shd w:val="clear" w:fill="FFFFFF"/>
        </w:rPr>
        <w:t>山东省财政厅</w:t>
      </w:r>
    </w:p>
    <w:p w14:paraId="173D612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0"/>
        <w:jc w:val="center"/>
        <w:textAlignment w:val="center"/>
        <w:rPr>
          <w:rFonts w:hint="eastAsia" w:ascii="微软雅黑" w:hAnsi="微软雅黑" w:eastAsia="微软雅黑" w:cs="微软雅黑"/>
          <w:i w:val="0"/>
          <w:iCs w:val="0"/>
          <w:caps w:val="0"/>
          <w:color w:val="212529"/>
          <w:spacing w:val="0"/>
          <w:sz w:val="24"/>
          <w:szCs w:val="24"/>
        </w:rPr>
      </w:pPr>
      <w:r>
        <w:rPr>
          <w:rFonts w:hint="default" w:ascii="方正小标宋简体" w:hAnsi="方正小标宋简体" w:eastAsia="方正小标宋简体" w:cs="方正小标宋简体"/>
          <w:i w:val="0"/>
          <w:iCs w:val="0"/>
          <w:caps w:val="0"/>
          <w:color w:val="212529"/>
          <w:spacing w:val="0"/>
          <w:sz w:val="43"/>
          <w:szCs w:val="43"/>
          <w:bdr w:val="none" w:color="auto" w:sz="0" w:space="0"/>
          <w:shd w:val="clear" w:fill="FFFFFF"/>
        </w:rPr>
        <w:t>关于报送2026年度正高级会计师</w:t>
      </w:r>
    </w:p>
    <w:p w14:paraId="1C9E3A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0"/>
        <w:jc w:val="center"/>
        <w:textAlignment w:val="center"/>
        <w:rPr>
          <w:rFonts w:hint="eastAsia" w:ascii="微软雅黑" w:hAnsi="微软雅黑" w:eastAsia="微软雅黑" w:cs="微软雅黑"/>
          <w:i w:val="0"/>
          <w:iCs w:val="0"/>
          <w:caps w:val="0"/>
          <w:color w:val="212529"/>
          <w:spacing w:val="0"/>
          <w:sz w:val="24"/>
          <w:szCs w:val="24"/>
        </w:rPr>
      </w:pPr>
      <w:r>
        <w:rPr>
          <w:rFonts w:hint="default" w:ascii="方正小标宋简体" w:hAnsi="方正小标宋简体" w:eastAsia="方正小标宋简体" w:cs="方正小标宋简体"/>
          <w:i w:val="0"/>
          <w:iCs w:val="0"/>
          <w:caps w:val="0"/>
          <w:color w:val="212529"/>
          <w:spacing w:val="0"/>
          <w:sz w:val="43"/>
          <w:szCs w:val="43"/>
          <w:bdr w:val="none" w:color="auto" w:sz="0" w:space="0"/>
          <w:shd w:val="clear" w:fill="FFFFFF"/>
        </w:rPr>
        <w:t>职称评审申报材料的通知</w:t>
      </w:r>
    </w:p>
    <w:p w14:paraId="6AE424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0"/>
        <w:jc w:val="center"/>
        <w:textAlignment w:val="center"/>
        <w:rPr>
          <w:rFonts w:hint="eastAsia" w:ascii="微软雅黑" w:hAnsi="微软雅黑" w:eastAsia="微软雅黑" w:cs="微软雅黑"/>
          <w:i w:val="0"/>
          <w:iCs w:val="0"/>
          <w:caps w:val="0"/>
          <w:color w:val="212529"/>
          <w:spacing w:val="0"/>
          <w:sz w:val="24"/>
          <w:szCs w:val="24"/>
        </w:rPr>
      </w:pPr>
    </w:p>
    <w:p w14:paraId="681F7E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0"/>
        <w:jc w:val="center"/>
        <w:textAlignment w:val="center"/>
        <w:rPr>
          <w:rFonts w:hint="eastAsia" w:ascii="微软雅黑" w:hAnsi="微软雅黑" w:eastAsia="微软雅黑" w:cs="微软雅黑"/>
          <w:i w:val="0"/>
          <w:iCs w:val="0"/>
          <w:caps w:val="0"/>
          <w:color w:val="212529"/>
          <w:spacing w:val="0"/>
          <w:sz w:val="24"/>
          <w:szCs w:val="24"/>
        </w:rPr>
      </w:pPr>
      <w:r>
        <w:rPr>
          <w:rFonts w:ascii="仿宋_GB2312" w:hAnsi="微软雅黑" w:eastAsia="仿宋_GB2312" w:cs="仿宋_GB2312"/>
          <w:i w:val="0"/>
          <w:iCs w:val="0"/>
          <w:caps w:val="0"/>
          <w:color w:val="212529"/>
          <w:spacing w:val="0"/>
          <w:sz w:val="31"/>
          <w:szCs w:val="31"/>
          <w:bdr w:val="none" w:color="auto" w:sz="0" w:space="0"/>
          <w:shd w:val="clear" w:fill="FFFFFF"/>
        </w:rPr>
        <w:t>鲁财会〔</w:t>
      </w:r>
      <w:r>
        <w:rPr>
          <w:rFonts w:hint="default" w:ascii="仿宋_GB2312" w:hAnsi="微软雅黑" w:eastAsia="仿宋_GB2312" w:cs="仿宋_GB2312"/>
          <w:i w:val="0"/>
          <w:iCs w:val="0"/>
          <w:caps w:val="0"/>
          <w:color w:val="212529"/>
          <w:spacing w:val="0"/>
          <w:sz w:val="31"/>
          <w:szCs w:val="31"/>
          <w:bdr w:val="none" w:color="auto" w:sz="0" w:space="0"/>
          <w:shd w:val="clear" w:fill="FFFFFF"/>
        </w:rPr>
        <w:t>2026〕44号</w:t>
      </w:r>
    </w:p>
    <w:p w14:paraId="564905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0"/>
        <w:jc w:val="center"/>
        <w:textAlignment w:val="center"/>
        <w:rPr>
          <w:rFonts w:hint="eastAsia" w:ascii="微软雅黑" w:hAnsi="微软雅黑" w:eastAsia="微软雅黑" w:cs="微软雅黑"/>
          <w:i w:val="0"/>
          <w:iCs w:val="0"/>
          <w:caps w:val="0"/>
          <w:color w:val="212529"/>
          <w:spacing w:val="0"/>
          <w:sz w:val="24"/>
          <w:szCs w:val="24"/>
        </w:rPr>
      </w:pPr>
    </w:p>
    <w:p w14:paraId="655E48D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0"/>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各市财政局，省直各部门、单位，各省属企业，有关单位：</w:t>
      </w:r>
    </w:p>
    <w:p w14:paraId="7A87C92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根据《山东省职称评审管理服务实施办法》（鲁人社规〔2021〕1号）和《山东省人力资源和社会保障厅关于做好2026年度职称评审工作的公告》，现将我省2026年度正高级会计师评审有关事项通知如下。</w:t>
      </w:r>
    </w:p>
    <w:p w14:paraId="1AA4E5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30"/>
        <w:jc w:val="left"/>
        <w:textAlignment w:val="center"/>
        <w:rPr>
          <w:rFonts w:hint="eastAsia" w:ascii="微软雅黑" w:hAnsi="微软雅黑" w:eastAsia="微软雅黑" w:cs="微软雅黑"/>
          <w:i w:val="0"/>
          <w:iCs w:val="0"/>
          <w:caps w:val="0"/>
          <w:color w:val="212529"/>
          <w:spacing w:val="0"/>
          <w:sz w:val="24"/>
          <w:szCs w:val="24"/>
        </w:rPr>
      </w:pPr>
      <w:r>
        <w:rPr>
          <w:rFonts w:ascii="黑体" w:hAnsi="宋体" w:eastAsia="黑体" w:cs="黑体"/>
          <w:i w:val="0"/>
          <w:iCs w:val="0"/>
          <w:caps w:val="0"/>
          <w:color w:val="212529"/>
          <w:spacing w:val="0"/>
          <w:sz w:val="31"/>
          <w:szCs w:val="31"/>
          <w:bdr w:val="none" w:color="auto" w:sz="0" w:space="0"/>
          <w:shd w:val="clear" w:fill="FFFFFF"/>
        </w:rPr>
        <w:t>一、评审依据</w:t>
      </w:r>
    </w:p>
    <w:p w14:paraId="22CB420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30"/>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《山东省财政厅 山东省人力资源和社会保障厅关于印发山东省会计人员正高级会计师、高级会计师职称标准条件的通知》（鲁财会〔2024〕77号）（以下简称《标准条件》）。</w:t>
      </w:r>
    </w:p>
    <w:p w14:paraId="146FCA8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eastAsia" w:ascii="黑体" w:hAnsi="宋体" w:eastAsia="黑体" w:cs="黑体"/>
          <w:i w:val="0"/>
          <w:iCs w:val="0"/>
          <w:caps w:val="0"/>
          <w:color w:val="212529"/>
          <w:spacing w:val="0"/>
          <w:sz w:val="31"/>
          <w:szCs w:val="31"/>
          <w:bdr w:val="none" w:color="auto" w:sz="0" w:space="0"/>
          <w:shd w:val="clear" w:fill="FFFFFF"/>
        </w:rPr>
        <w:t>二、评审范围</w:t>
      </w:r>
    </w:p>
    <w:p w14:paraId="45AADBA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30"/>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我省各类企业、事业和会计中介机构等单位中符合《标准条件》的会计人员。公务员、参照公务员法管理的人员、离退休人员不在职称评审范围。</w:t>
      </w:r>
    </w:p>
    <w:p w14:paraId="2D2FA3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30"/>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中央驻鲁单位和外省国有驻鲁企业及其分支机构（分公司、办事处等）会计专业技术人员，如需委托评审，需经有人事管理权限的主管部门向山东省人力资源和社会保障厅开具委托评审函，相关程序按照《山东省人力资源和社会保障厅关于简化中央驻鲁单位高级职称委托评审手续的通知》（鲁人社字〔2019〕163号）规定执行。</w:t>
      </w:r>
    </w:p>
    <w:p w14:paraId="5D9BF50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30"/>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省内职称自主评聘单位会计专业技术人员委托评审的，需向省会计专业资格高级评审委员会开具委托评审函，评审结束后，由评委会办事机构书面反馈评审结果。自主评聘单位按照《山东省人力资源和社会保障厅关于优化职称自主评聘单位管理服务有关事项的通知》（鲁人社字〔2023〕49号）自主聘用后，通过服务平台颁发《山东省职称自主评聘单位评聘证书》。</w:t>
      </w:r>
    </w:p>
    <w:p w14:paraId="51CE6E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eastAsia" w:ascii="黑体" w:hAnsi="宋体" w:eastAsia="黑体" w:cs="黑体"/>
          <w:i w:val="0"/>
          <w:iCs w:val="0"/>
          <w:caps w:val="0"/>
          <w:color w:val="212529"/>
          <w:spacing w:val="0"/>
          <w:sz w:val="31"/>
          <w:szCs w:val="31"/>
          <w:bdr w:val="none" w:color="auto" w:sz="0" w:space="0"/>
          <w:shd w:val="clear" w:fill="FFFFFF"/>
        </w:rPr>
        <w:t>三、申报程序和路径</w:t>
      </w:r>
    </w:p>
    <w:p w14:paraId="2F2473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正高级会计师评审实行个人网上申报、单位审核推荐、主管部门审核、呈报部门审核呈报的申报程序。申报人员的申报材料（含电子材料和《山东省专业技术职称评审表》）经单位、主管部门、呈报部门逐级审核后，由呈报部门上报至山东省会计专业资格高级评审委员会办事机构（山东省财政厅会计处，以下简称办事机构）复核。</w:t>
      </w:r>
    </w:p>
    <w:p w14:paraId="78867ED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一）申报人员登录“山东省专业技术人员管理服务平台”（登录方式1：https://117.73.253.239:9000/sdzc-web-ui/business/login/login.html；登录方式2：山东省人力资源和社会保障厅官网—网上办事服务大厅—系统快捷入口—山东省职称申报评审系统）注册个人账户，依次填写个人信息、上传证明材料，连同其他纸质材料报工作单位审核。</w:t>
      </w:r>
    </w:p>
    <w:p w14:paraId="45187B8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二）申报人员所在工作单位、主管部门、呈报部门登录“山东省专业技术人员管理服务平台”，依次逐级建立申报路径接收申报人员材料，并进行审核和逐级上报。呈报部门需与“山东省会计专业资格高级评审委员会”建立申报路径，上报申报人员信息。以前年度已经建立申报路径的，无需再建立路径。</w:t>
      </w:r>
    </w:p>
    <w:p w14:paraId="4A16B6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设区的市及以下单位，市财政部门或市人力资源社会保障部门为呈报部门；省属一级国有企业为本企业及下属企业的呈报部门；省属事业单位，其上级主管部门为呈报部门。</w:t>
      </w:r>
    </w:p>
    <w:p w14:paraId="3BBBF0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eastAsia" w:ascii="黑体" w:hAnsi="宋体" w:eastAsia="黑体" w:cs="黑体"/>
          <w:i w:val="0"/>
          <w:iCs w:val="0"/>
          <w:caps w:val="0"/>
          <w:color w:val="212529"/>
          <w:spacing w:val="0"/>
          <w:sz w:val="31"/>
          <w:szCs w:val="31"/>
          <w:bdr w:val="none" w:color="auto" w:sz="0" w:space="0"/>
          <w:shd w:val="clear" w:fill="FFFFFF"/>
        </w:rPr>
        <w:t>四、申报要求及责任</w:t>
      </w:r>
    </w:p>
    <w:p w14:paraId="610745E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ascii="楷体_GB2312" w:hAnsi="微软雅黑" w:eastAsia="楷体_GB2312" w:cs="楷体_GB2312"/>
          <w:i w:val="0"/>
          <w:iCs w:val="0"/>
          <w:caps w:val="0"/>
          <w:color w:val="212529"/>
          <w:spacing w:val="0"/>
          <w:sz w:val="31"/>
          <w:szCs w:val="31"/>
          <w:bdr w:val="none" w:color="auto" w:sz="0" w:space="0"/>
          <w:shd w:val="clear" w:fill="FFFFFF"/>
        </w:rPr>
        <w:t>（一）个人申报。</w:t>
      </w:r>
      <w:r>
        <w:rPr>
          <w:rFonts w:hint="default" w:ascii="仿宋_GB2312" w:hAnsi="微软雅黑" w:eastAsia="仿宋_GB2312" w:cs="仿宋_GB2312"/>
          <w:i w:val="0"/>
          <w:iCs w:val="0"/>
          <w:caps w:val="0"/>
          <w:color w:val="212529"/>
          <w:spacing w:val="0"/>
          <w:sz w:val="31"/>
          <w:szCs w:val="31"/>
          <w:bdr w:val="none" w:color="auto" w:sz="0" w:space="0"/>
          <w:shd w:val="clear" w:fill="FFFFFF"/>
        </w:rPr>
        <w:t>申报人员应完成会计人员信息采集和相应的继续教育。申报人员先登录“全国会计人员统一服务管理平台”〔</w:t>
      </w:r>
      <w:r>
        <w:rPr>
          <w:rFonts w:hint="default" w:ascii="仿宋_GB2312" w:hAnsi="微软雅黑" w:eastAsia="仿宋_GB2312" w:cs="仿宋_GB2312"/>
          <w:i w:val="0"/>
          <w:iCs w:val="0"/>
          <w:caps w:val="0"/>
          <w:color w:val="212529"/>
          <w:spacing w:val="15"/>
          <w:sz w:val="31"/>
          <w:szCs w:val="31"/>
          <w:bdr w:val="none" w:color="auto" w:sz="0" w:space="0"/>
          <w:shd w:val="clear" w:fill="FFFFFF"/>
        </w:rPr>
        <w:t>登录方式1：</w:t>
      </w:r>
      <w:r>
        <w:rPr>
          <w:rFonts w:hint="default" w:ascii="仿宋_GB2312" w:hAnsi="微软雅黑" w:eastAsia="仿宋_GB2312" w:cs="仿宋_GB2312"/>
          <w:i w:val="0"/>
          <w:iCs w:val="0"/>
          <w:caps w:val="0"/>
          <w:color w:val="212529"/>
          <w:spacing w:val="0"/>
          <w:sz w:val="31"/>
          <w:szCs w:val="31"/>
          <w:bdr w:val="none" w:color="auto" w:sz="0" w:space="0"/>
          <w:shd w:val="clear" w:fill="FFFFFF"/>
        </w:rPr>
        <w:t>https://ausm.mof.gov.cn/index/；</w:t>
      </w:r>
      <w:r>
        <w:rPr>
          <w:rFonts w:hint="default" w:ascii="仿宋_GB2312" w:hAnsi="微软雅黑" w:eastAsia="仿宋_GB2312" w:cs="仿宋_GB2312"/>
          <w:i w:val="0"/>
          <w:iCs w:val="0"/>
          <w:caps w:val="0"/>
          <w:color w:val="212529"/>
          <w:spacing w:val="15"/>
          <w:sz w:val="31"/>
          <w:szCs w:val="31"/>
          <w:bdr w:val="none" w:color="auto" w:sz="0" w:space="0"/>
          <w:shd w:val="clear" w:fill="FFFFFF"/>
        </w:rPr>
        <w:t>登录方式2：中华人民共和国财政部官网—</w:t>
      </w:r>
      <w:r>
        <w:rPr>
          <w:rFonts w:hint="default" w:ascii="仿宋_GB2312" w:hAnsi="微软雅黑" w:eastAsia="仿宋_GB2312" w:cs="仿宋_GB2312"/>
          <w:i w:val="0"/>
          <w:iCs w:val="0"/>
          <w:caps w:val="0"/>
          <w:color w:val="212529"/>
          <w:spacing w:val="0"/>
          <w:sz w:val="31"/>
          <w:szCs w:val="31"/>
          <w:bdr w:val="none" w:color="auto" w:sz="0" w:space="0"/>
          <w:shd w:val="clear" w:fill="FFFFFF"/>
        </w:rPr>
        <w:t>全国会计人员统一服务管理平台（</w:t>
      </w:r>
      <w:r>
        <w:rPr>
          <w:rFonts w:hint="default" w:ascii="仿宋_GB2312" w:hAnsi="微软雅黑" w:eastAsia="仿宋_GB2312" w:cs="仿宋_GB2312"/>
          <w:i w:val="0"/>
          <w:iCs w:val="0"/>
          <w:caps w:val="0"/>
          <w:color w:val="212529"/>
          <w:spacing w:val="15"/>
          <w:sz w:val="31"/>
          <w:szCs w:val="31"/>
          <w:bdr w:val="none" w:color="auto" w:sz="0" w:space="0"/>
          <w:shd w:val="clear" w:fill="FFFFFF"/>
        </w:rPr>
        <w:t>最右侧图标栏</w:t>
      </w:r>
      <w:r>
        <w:rPr>
          <w:rFonts w:hint="default" w:ascii="仿宋_GB2312" w:hAnsi="微软雅黑" w:eastAsia="仿宋_GB2312" w:cs="仿宋_GB2312"/>
          <w:i w:val="0"/>
          <w:iCs w:val="0"/>
          <w:caps w:val="0"/>
          <w:color w:val="212529"/>
          <w:spacing w:val="0"/>
          <w:sz w:val="31"/>
          <w:szCs w:val="31"/>
          <w:bdr w:val="none" w:color="auto" w:sz="0" w:space="0"/>
          <w:shd w:val="clear" w:fill="FFFFFF"/>
        </w:rPr>
        <w:t>）〕注册并完善采集信息，审核通过后，在“山东省专业技术人员管理服务平台”注册个人账户，部分申报信息如申报人员的单位性质、全日制学历学位、继续教育专业科目学分等，将从全国会计人员统一服务管理平台自动提取，无需个人填报和上传附件。未能自动提取的申报信息，须在“山东省专业技术人员管理服务平台”据实填报、上传附件，并对信息的合法性、真实性、完整性负责。涉及国家秘密的申报材料,需按照申报人所在单位传递涉密文件的方式线下报送（如机要邮寄、专人报送等）,不得上传平台。对使用平台违规填报、上传、流转国家秘密造成的后果，由个人负责，并按照国家、省保密相关规定严肃处理。</w:t>
      </w:r>
    </w:p>
    <w:p w14:paraId="294E57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楷体_GB2312" w:hAnsi="微软雅黑" w:eastAsia="楷体_GB2312" w:cs="楷体_GB2312"/>
          <w:i w:val="0"/>
          <w:iCs w:val="0"/>
          <w:caps w:val="0"/>
          <w:color w:val="212529"/>
          <w:spacing w:val="0"/>
          <w:sz w:val="31"/>
          <w:szCs w:val="31"/>
          <w:bdr w:val="none" w:color="auto" w:sz="0" w:space="0"/>
          <w:shd w:val="clear" w:fill="FFFFFF"/>
        </w:rPr>
        <w:t>（二）单位审核推荐。</w:t>
      </w:r>
      <w:r>
        <w:rPr>
          <w:rFonts w:hint="default" w:ascii="仿宋_GB2312" w:hAnsi="微软雅黑" w:eastAsia="仿宋_GB2312" w:cs="仿宋_GB2312"/>
          <w:i w:val="0"/>
          <w:iCs w:val="0"/>
          <w:caps w:val="0"/>
          <w:color w:val="212529"/>
          <w:spacing w:val="0"/>
          <w:sz w:val="31"/>
          <w:szCs w:val="31"/>
          <w:bdr w:val="none" w:color="auto" w:sz="0" w:space="0"/>
          <w:shd w:val="clear" w:fill="FFFFFF"/>
        </w:rPr>
        <w:t>申报人员所在单位负责组织专人实名审核申报材料的合法性、真实性、完整性、有效性和规范性，重点审查业绩成果形成、评价、发表及科研诚信等方面是否存在品德失范行为，申报的继续教育学时、学分是否符合相关政策规定，并负责组织好申报推荐工作。单位确定推荐申报职称人员名单后，将申报人员的申报材料及有关情况（有保密要求和涉及个人隐私的除外），依据《山东省人力资源和社会保障厅关于进一步规范职称评审公示工作的通知》（鲁人社字〔2020〕32号）要求在单位内部进行公示，公示期不少于5个工作日，经公示无异议的，填报《推荐申报专业技术职称“六公开”监督卡》（附件2），按照职称评审管理权限逐级推荐上报。劳务派遣人员、人事代理人员分别由劳务派遣单位、人事代理机构或申报人员现工作单位推荐申报和公示。</w:t>
      </w:r>
    </w:p>
    <w:p w14:paraId="0503713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楷体_GB2312" w:hAnsi="微软雅黑" w:eastAsia="楷体_GB2312" w:cs="楷体_GB2312"/>
          <w:i w:val="0"/>
          <w:iCs w:val="0"/>
          <w:caps w:val="0"/>
          <w:color w:val="212529"/>
          <w:spacing w:val="0"/>
          <w:sz w:val="31"/>
          <w:szCs w:val="31"/>
          <w:bdr w:val="none" w:color="auto" w:sz="0" w:space="0"/>
          <w:shd w:val="clear" w:fill="FFFFFF"/>
        </w:rPr>
        <w:t>（三）主管部门审核。</w:t>
      </w:r>
      <w:r>
        <w:rPr>
          <w:rFonts w:hint="default" w:ascii="仿宋_GB2312" w:hAnsi="微软雅黑" w:eastAsia="仿宋_GB2312" w:cs="仿宋_GB2312"/>
          <w:i w:val="0"/>
          <w:iCs w:val="0"/>
          <w:caps w:val="0"/>
          <w:color w:val="212529"/>
          <w:spacing w:val="0"/>
          <w:sz w:val="31"/>
          <w:szCs w:val="31"/>
          <w:bdr w:val="none" w:color="auto" w:sz="0" w:space="0"/>
          <w:shd w:val="clear" w:fill="FFFFFF"/>
        </w:rPr>
        <w:t>主管部门负责审核个人申报材料的合法性、真实性、完整性和规范性，并对申报人员所在单位的推荐及公示情况进行把关。审核通过的，将申报材料送呈报部门审核。</w:t>
      </w:r>
    </w:p>
    <w:p w14:paraId="5A770D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楷体_GB2312" w:hAnsi="微软雅黑" w:eastAsia="楷体_GB2312" w:cs="楷体_GB2312"/>
          <w:i w:val="0"/>
          <w:iCs w:val="0"/>
          <w:caps w:val="0"/>
          <w:color w:val="212529"/>
          <w:spacing w:val="0"/>
          <w:sz w:val="31"/>
          <w:szCs w:val="31"/>
          <w:bdr w:val="none" w:color="auto" w:sz="0" w:space="0"/>
          <w:shd w:val="clear" w:fill="FFFFFF"/>
        </w:rPr>
        <w:t>（四）呈报部门复核呈报。</w:t>
      </w:r>
      <w:r>
        <w:rPr>
          <w:rFonts w:hint="default" w:ascii="仿宋_GB2312" w:hAnsi="微软雅黑" w:eastAsia="仿宋_GB2312" w:cs="仿宋_GB2312"/>
          <w:i w:val="0"/>
          <w:iCs w:val="0"/>
          <w:caps w:val="0"/>
          <w:color w:val="212529"/>
          <w:spacing w:val="0"/>
          <w:sz w:val="31"/>
          <w:szCs w:val="31"/>
          <w:bdr w:val="none" w:color="auto" w:sz="0" w:space="0"/>
          <w:shd w:val="clear" w:fill="FFFFFF"/>
        </w:rPr>
        <w:t>呈报部门负责对个人申报材料进行复核，经复核合格的，统一呈报办事机构。</w:t>
      </w:r>
    </w:p>
    <w:p w14:paraId="4AC3A76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楷体_GB2312" w:hAnsi="微软雅黑" w:eastAsia="楷体_GB2312" w:cs="楷体_GB2312"/>
          <w:i w:val="0"/>
          <w:iCs w:val="0"/>
          <w:caps w:val="0"/>
          <w:color w:val="212529"/>
          <w:spacing w:val="0"/>
          <w:sz w:val="31"/>
          <w:szCs w:val="31"/>
          <w:bdr w:val="none" w:color="auto" w:sz="0" w:space="0"/>
          <w:shd w:val="clear" w:fill="FFFFFF"/>
        </w:rPr>
        <w:t>（五）严格审核把关。</w:t>
      </w:r>
      <w:r>
        <w:rPr>
          <w:rFonts w:hint="default" w:ascii="仿宋_GB2312" w:hAnsi="微软雅黑" w:eastAsia="仿宋_GB2312" w:cs="仿宋_GB2312"/>
          <w:i w:val="0"/>
          <w:iCs w:val="0"/>
          <w:caps w:val="0"/>
          <w:color w:val="212529"/>
          <w:spacing w:val="0"/>
          <w:sz w:val="31"/>
          <w:szCs w:val="31"/>
          <w:bdr w:val="none" w:color="auto" w:sz="0" w:space="0"/>
          <w:shd w:val="clear" w:fill="FFFFFF"/>
        </w:rPr>
        <w:t>工作单位、主管部门、呈报部门要按照各自职责严格审核，对不符合申报条件和程序、超出评委会受理范围或违反委托评审程序报送的申报材料，应及时退回申报人，并告知原因。申报人员应及时查看申报材料的审核情况，并接收退回材料。有以下情形之一的，不予受理：1.不符合评审条件；2.不符合填写规范；3.不按规定时间、程序报送；4.未经或未按规定进行公示或公示有异议未查实出具意见；5.有弄虚作假行为；6.其它不符合职称政策规定的。</w:t>
      </w:r>
    </w:p>
    <w:p w14:paraId="04E1D3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楷体_GB2312" w:hAnsi="微软雅黑" w:eastAsia="楷体_GB2312" w:cs="楷体_GB2312"/>
          <w:i w:val="0"/>
          <w:iCs w:val="0"/>
          <w:caps w:val="0"/>
          <w:color w:val="212529"/>
          <w:spacing w:val="0"/>
          <w:sz w:val="31"/>
          <w:szCs w:val="31"/>
          <w:bdr w:val="none" w:color="auto" w:sz="0" w:space="0"/>
          <w:shd w:val="clear" w:fill="FFFFFF"/>
        </w:rPr>
        <w:t>（六）补充完善材料。</w:t>
      </w:r>
      <w:r>
        <w:rPr>
          <w:rFonts w:hint="default" w:ascii="仿宋_GB2312" w:hAnsi="微软雅黑" w:eastAsia="仿宋_GB2312" w:cs="仿宋_GB2312"/>
          <w:i w:val="0"/>
          <w:iCs w:val="0"/>
          <w:caps w:val="0"/>
          <w:color w:val="212529"/>
          <w:spacing w:val="0"/>
          <w:sz w:val="31"/>
          <w:szCs w:val="31"/>
          <w:bdr w:val="none" w:color="auto" w:sz="0" w:space="0"/>
          <w:shd w:val="clear" w:fill="FFFFFF"/>
        </w:rPr>
        <w:t>办事机构对不规范、不完整的申报材料直接退回申报人并一次性告知修改意见，仅提供一次修改机会。申报人员应及时查收，并在规定时间内对申报材料进行修改后再次逐级报送。对弄虚作假的一经退回，不再接收申报材料，并按照相关规定处理。由于申报人员未按时修改、修改不全面、未及时报送所需材料等个人原因影响评审结果的，后果由申报人员本人承担。</w:t>
      </w:r>
    </w:p>
    <w:p w14:paraId="389AE4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楷体_GB2312" w:hAnsi="微软雅黑" w:eastAsia="楷体_GB2312" w:cs="楷体_GB2312"/>
          <w:i w:val="0"/>
          <w:iCs w:val="0"/>
          <w:caps w:val="0"/>
          <w:color w:val="212529"/>
          <w:spacing w:val="0"/>
          <w:sz w:val="31"/>
          <w:szCs w:val="31"/>
          <w:bdr w:val="none" w:color="auto" w:sz="0" w:space="0"/>
          <w:shd w:val="clear" w:fill="FFFFFF"/>
        </w:rPr>
        <w:t>（七）其他事项。</w:t>
      </w:r>
      <w:r>
        <w:rPr>
          <w:rFonts w:hint="default" w:ascii="仿宋_GB2312" w:hAnsi="微软雅黑" w:eastAsia="仿宋_GB2312" w:cs="仿宋_GB2312"/>
          <w:i w:val="0"/>
          <w:iCs w:val="0"/>
          <w:caps w:val="0"/>
          <w:color w:val="212529"/>
          <w:spacing w:val="0"/>
          <w:sz w:val="31"/>
          <w:szCs w:val="31"/>
          <w:bdr w:val="none" w:color="auto" w:sz="0" w:space="0"/>
          <w:shd w:val="clear" w:fill="FFFFFF"/>
        </w:rPr>
        <w:t>经办事机构审核通过的，申报人员自行打印《山东省专业技术职称评审表》一式2份（系统生成，A3纸双面打印，原件），经所在单位、主管部门和呈报部门签字盖章。负责人签字处由负责人签字或加盖人名章，公章处应加盖单位公章或职称专用章，由呈报部门汇总统一报送至办事机构。《山东省专业技术职称评审表》属个人档案材料，评审通过后应及时报本单位人事部门，存入人事档案。</w:t>
      </w:r>
    </w:p>
    <w:p w14:paraId="09CF898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申报材料中如有公开出版的会计类书籍，需在申报材料审核通过后5日内将纸质书籍寄送至办事机构。</w:t>
      </w:r>
    </w:p>
    <w:p w14:paraId="5587A38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楷体_GB2312" w:hAnsi="微软雅黑" w:eastAsia="楷体_GB2312" w:cs="楷体_GB2312"/>
          <w:i w:val="0"/>
          <w:iCs w:val="0"/>
          <w:caps w:val="0"/>
          <w:color w:val="212529"/>
          <w:spacing w:val="0"/>
          <w:sz w:val="31"/>
          <w:szCs w:val="31"/>
          <w:bdr w:val="none" w:color="auto" w:sz="0" w:space="0"/>
          <w:shd w:val="clear" w:fill="FFFFFF"/>
        </w:rPr>
        <w:t>（八）评审方式及时间。</w:t>
      </w:r>
      <w:r>
        <w:rPr>
          <w:rFonts w:hint="default" w:ascii="仿宋_GB2312" w:hAnsi="微软雅黑" w:eastAsia="仿宋_GB2312" w:cs="仿宋_GB2312"/>
          <w:i w:val="0"/>
          <w:iCs w:val="0"/>
          <w:caps w:val="0"/>
          <w:color w:val="212529"/>
          <w:spacing w:val="0"/>
          <w:sz w:val="31"/>
          <w:szCs w:val="31"/>
          <w:bdr w:val="none" w:color="auto" w:sz="0" w:space="0"/>
          <w:shd w:val="clear" w:fill="FFFFFF"/>
        </w:rPr>
        <w:t>正高级会计师职称评审采用面试答辩和综合评议相结合的方式，面试答辩的时间和地点另行通知。</w:t>
      </w:r>
    </w:p>
    <w:p w14:paraId="698F39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eastAsia" w:ascii="黑体" w:hAnsi="宋体" w:eastAsia="黑体" w:cs="黑体"/>
          <w:i w:val="0"/>
          <w:iCs w:val="0"/>
          <w:caps w:val="0"/>
          <w:color w:val="212529"/>
          <w:spacing w:val="0"/>
          <w:sz w:val="31"/>
          <w:szCs w:val="31"/>
          <w:bdr w:val="none" w:color="auto" w:sz="0" w:space="0"/>
          <w:shd w:val="clear" w:fill="FFFFFF"/>
        </w:rPr>
        <w:t>五、材料报送时间、地点</w:t>
      </w:r>
    </w:p>
    <w:p w14:paraId="09CB20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网上申报时间：9月7日—9月30日。申报人员需在9月30日前将申报材料通过“山东省专业技术人员管理服务平台”按审核路径提交至山东省会计专业资格高级评审委员会。网上申报结束后，仅受理评委会审核退回修改并再次提交的申报材料，不再受理新申报的材料。</w:t>
      </w:r>
    </w:p>
    <w:p w14:paraId="583B36E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联系电话：0531-82669531（材料报送咨询）</w:t>
      </w:r>
    </w:p>
    <w:p w14:paraId="7A5829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226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0531-51769574（政策咨询）</w:t>
      </w:r>
    </w:p>
    <w:p w14:paraId="20C89D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30" w:firstLineChars="20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邮寄地址：山东省济南市市中区济大路9号威海银行对面西侧</w:t>
      </w:r>
    </w:p>
    <w:p w14:paraId="2E4792C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firstLine="2047" w:firstLineChars="650"/>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门二楼，高会评审委员会，0531-82669531</w:t>
      </w:r>
    </w:p>
    <w:p w14:paraId="12B4EC6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邮政编码：250002</w:t>
      </w:r>
    </w:p>
    <w:p w14:paraId="0130F68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eastAsia" w:ascii="黑体" w:hAnsi="宋体" w:eastAsia="黑体" w:cs="黑体"/>
          <w:i w:val="0"/>
          <w:iCs w:val="0"/>
          <w:caps w:val="0"/>
          <w:color w:val="212529"/>
          <w:spacing w:val="0"/>
          <w:sz w:val="31"/>
          <w:szCs w:val="31"/>
          <w:bdr w:val="none" w:color="auto" w:sz="0" w:space="0"/>
          <w:shd w:val="clear" w:fill="FFFFFF"/>
        </w:rPr>
        <w:t>六、评审收费</w:t>
      </w:r>
    </w:p>
    <w:p w14:paraId="5A4972B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评审收费严格按我省职称评审收费政策规定执行。评审收费实行网上缴费，申报材料经办事机构审核通过后，申报人员应及时登录“山东省专业技术人员管理服务平台”查看申报进度并按系统提示要求进行缴费，过期未缴费的视为自动放弃。</w:t>
      </w:r>
    </w:p>
    <w:p w14:paraId="42D8FF7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eastAsia" w:ascii="黑体" w:hAnsi="宋体" w:eastAsia="黑体" w:cs="黑体"/>
          <w:i w:val="0"/>
          <w:iCs w:val="0"/>
          <w:caps w:val="0"/>
          <w:color w:val="212529"/>
          <w:spacing w:val="0"/>
          <w:sz w:val="31"/>
          <w:szCs w:val="31"/>
          <w:bdr w:val="none" w:color="auto" w:sz="0" w:space="0"/>
          <w:shd w:val="clear" w:fill="FFFFFF"/>
        </w:rPr>
        <w:t>七、申报纪律和责任</w:t>
      </w:r>
    </w:p>
    <w:p w14:paraId="129F23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申报材料报送实行告知承诺制。</w:t>
      </w:r>
    </w:p>
    <w:p w14:paraId="7476348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一）申报人员对本人的申报行为负责，承诺填写的内容及申报材料真实准确；不得伪造、涂改证件及证明，不得提交虚假申报材料，不得有其它违反评审规定的行为，一经查实，按有关规定严肃处理；涉嫌违纪违规的，按照人事管理权限予以党纪政纪处分。</w:t>
      </w:r>
    </w:p>
    <w:p w14:paraId="70BA98E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二）各级财政部门和各单位、各企业要高度重视评审工作，切实加强组织领导，按照各自职责，相互配合、加强沟通，及时审核会计人员信息采集和申报材料，积极稳妥开展评审工作。对于审核不及时造成的影响，由有关单位负责。</w:t>
      </w:r>
    </w:p>
    <w:p w14:paraId="22E5AA2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三）申报人员所在单位、上级主管部门对申报材料和推荐程序的合法性、真实性、规范性负责；对申报材料要严格把关，严格履行申报人员的推荐公示程序，组织好材料呈报工作，对未履行评议推荐公示程序的，取消参评资格。按照“谁审核、谁负责”的管理责任制，各环节相关单位对发现的问题要及时纠正，妥善处理解决，对因不负责导致严重后果的，将依法追究有关人员责任。</w:t>
      </w:r>
    </w:p>
    <w:p w14:paraId="7BA025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（四）各单位应指派专人负责申报材料的呈报工作，办事机构不接受个人申报。</w:t>
      </w:r>
    </w:p>
    <w:p w14:paraId="6EA9FA5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五）各单位要鼓励符合条件的人员积极申报，并从严审核申报材料，确保申报材料真实可靠，防止弄虚作假。有关组织或个人为专业技术人员评聘专业技术职务提供虚假证明材料的，将对负有责任的组织给予通报批评，对负有责任的专业技术人员依法依规严肃处理。</w:t>
      </w:r>
    </w:p>
    <w:p w14:paraId="2D6519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 </w:t>
      </w:r>
    </w:p>
    <w:p w14:paraId="4BF97E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645"/>
        <w:jc w:val="left"/>
        <w:textAlignment w:val="center"/>
        <w:rPr>
          <w:rFonts w:hint="eastAsia" w:ascii="微软雅黑" w:hAnsi="微软雅黑" w:eastAsia="微软雅黑" w:cs="微软雅黑"/>
          <w:i w:val="0"/>
          <w:iCs w:val="0"/>
          <w:caps w:val="0"/>
          <w:color w:val="212529"/>
          <w:spacing w:val="0"/>
          <w:sz w:val="24"/>
          <w:szCs w:val="24"/>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附件：1.材料报送及填报要求</w:t>
      </w:r>
    </w:p>
    <w:p w14:paraId="1DCC7262">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1605"/>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推荐申报专业技术职称“六公开”监督卡</w:t>
      </w:r>
    </w:p>
    <w:p w14:paraId="63D08099">
      <w:pPr>
        <w:pStyle w:val="2"/>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rightChars="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20F0318B">
      <w:pPr>
        <w:pStyle w:val="2"/>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rightChars="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15030B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445"/>
        <w:jc w:val="left"/>
        <w:textAlignment w:val="center"/>
        <w:rPr>
          <w:rFonts w:ascii="仿宋_GB2312" w:hAnsi="微软雅黑" w:eastAsia="仿宋_GB2312" w:cs="仿宋_GB2312"/>
          <w:i w:val="0"/>
          <w:iCs w:val="0"/>
          <w:caps w:val="0"/>
          <w:color w:val="212529"/>
          <w:spacing w:val="0"/>
          <w:sz w:val="31"/>
          <w:szCs w:val="31"/>
          <w:bdr w:val="none" w:color="auto" w:sz="0" w:space="0"/>
          <w:shd w:val="clear" w:fill="FFFFFF"/>
        </w:rPr>
      </w:pPr>
    </w:p>
    <w:p w14:paraId="5A672A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445"/>
        <w:jc w:val="left"/>
        <w:textAlignment w:val="center"/>
        <w:rPr>
          <w:rFonts w:hint="eastAsia" w:ascii="微软雅黑" w:hAnsi="微软雅黑" w:eastAsia="微软雅黑" w:cs="微软雅黑"/>
          <w:i w:val="0"/>
          <w:iCs w:val="0"/>
          <w:caps w:val="0"/>
          <w:color w:val="212529"/>
          <w:spacing w:val="0"/>
          <w:sz w:val="24"/>
          <w:szCs w:val="24"/>
        </w:rPr>
      </w:pPr>
      <w:r>
        <w:rPr>
          <w:rFonts w:ascii="仿宋_GB2312" w:hAnsi="微软雅黑" w:eastAsia="仿宋_GB2312" w:cs="仿宋_GB2312"/>
          <w:i w:val="0"/>
          <w:iCs w:val="0"/>
          <w:caps w:val="0"/>
          <w:color w:val="212529"/>
          <w:spacing w:val="0"/>
          <w:sz w:val="31"/>
          <w:szCs w:val="31"/>
          <w:bdr w:val="none" w:color="auto" w:sz="0" w:space="0"/>
          <w:shd w:val="clear" w:fill="FFFFFF"/>
        </w:rPr>
        <w:t> 山东省财政厅</w:t>
      </w:r>
    </w:p>
    <w:p w14:paraId="2B66561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r>
        <w:rPr>
          <w:rFonts w:hint="default" w:ascii="仿宋_GB2312" w:hAnsi="微软雅黑" w:eastAsia="仿宋_GB2312" w:cs="仿宋_GB2312"/>
          <w:i w:val="0"/>
          <w:iCs w:val="0"/>
          <w:caps w:val="0"/>
          <w:color w:val="212529"/>
          <w:spacing w:val="0"/>
          <w:sz w:val="31"/>
          <w:szCs w:val="31"/>
          <w:bdr w:val="none" w:color="auto" w:sz="0" w:space="0"/>
          <w:shd w:val="clear" w:fill="FFFFFF"/>
        </w:rPr>
        <w:t> 2026年9月4日</w:t>
      </w:r>
    </w:p>
    <w:p w14:paraId="5918CB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p>
    <w:p w14:paraId="43C9A5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p>
    <w:p w14:paraId="461BF7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p>
    <w:p w14:paraId="42BA8D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p>
    <w:p w14:paraId="18E9EC2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p>
    <w:p w14:paraId="6BD96F8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p>
    <w:p w14:paraId="1495886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p>
    <w:p w14:paraId="7B20E26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default" w:ascii="仿宋_GB2312" w:hAnsi="微软雅黑" w:eastAsia="仿宋_GB2312" w:cs="仿宋_GB2312"/>
          <w:i w:val="0"/>
          <w:iCs w:val="0"/>
          <w:caps w:val="0"/>
          <w:color w:val="212529"/>
          <w:spacing w:val="0"/>
          <w:sz w:val="31"/>
          <w:szCs w:val="31"/>
          <w:bdr w:val="none" w:color="auto" w:sz="0" w:space="0"/>
          <w:shd w:val="clear" w:fill="FFFFFF"/>
        </w:rPr>
      </w:pPr>
    </w:p>
    <w:p w14:paraId="10E34E3E">
      <w:pPr>
        <w:overflowPunct w:val="0"/>
        <w:spacing w:line="580" w:lineRule="exact"/>
        <w:rPr>
          <w:rFonts w:ascii="黑体" w:hAnsi="黑体" w:eastAsia="黑体"/>
          <w:sz w:val="32"/>
          <w:szCs w:val="32"/>
        </w:rPr>
      </w:pPr>
      <w:r>
        <w:rPr>
          <w:rFonts w:hint="eastAsia" w:ascii="黑体" w:hAnsi="黑体" w:eastAsia="黑体"/>
          <w:sz w:val="32"/>
          <w:szCs w:val="32"/>
        </w:rPr>
        <w:t>附件1</w:t>
      </w:r>
    </w:p>
    <w:p w14:paraId="08387929">
      <w:pPr>
        <w:overflowPunct w:val="0"/>
        <w:spacing w:line="580" w:lineRule="exact"/>
        <w:rPr>
          <w:rFonts w:ascii="仿宋_GB2312" w:hAnsi="宋体" w:eastAsia="仿宋_GB2312"/>
          <w:sz w:val="32"/>
          <w:szCs w:val="32"/>
        </w:rPr>
      </w:pPr>
    </w:p>
    <w:p w14:paraId="4CB12663">
      <w:pPr>
        <w:overflowPunct w:val="0"/>
        <w:spacing w:line="580" w:lineRule="exact"/>
        <w:jc w:val="center"/>
        <w:rPr>
          <w:rFonts w:ascii="方正小标宋简体" w:hAnsi="方正小标宋简体" w:eastAsia="方正小标宋简体"/>
          <w:sz w:val="44"/>
          <w:szCs w:val="44"/>
        </w:rPr>
      </w:pPr>
      <w:r>
        <w:rPr>
          <w:rFonts w:hint="eastAsia" w:ascii="方正小标宋简体" w:hAnsi="方正小标宋简体" w:eastAsia="方正小标宋简体"/>
          <w:sz w:val="44"/>
          <w:szCs w:val="44"/>
        </w:rPr>
        <w:t>材料报送及填报要求</w:t>
      </w:r>
    </w:p>
    <w:p w14:paraId="2D560BE6">
      <w:pPr>
        <w:overflowPunct w:val="0"/>
        <w:adjustRightInd w:val="0"/>
        <w:snapToGrid w:val="0"/>
        <w:spacing w:line="580" w:lineRule="exact"/>
        <w:ind w:firstLine="640" w:firstLineChars="200"/>
        <w:outlineLvl w:val="0"/>
        <w:rPr>
          <w:rFonts w:ascii="黑体" w:hAnsi="黑体" w:eastAsia="黑体"/>
          <w:sz w:val="32"/>
          <w:szCs w:val="32"/>
        </w:rPr>
      </w:pPr>
    </w:p>
    <w:p w14:paraId="0545F8A7">
      <w:pPr>
        <w:overflowPunct w:val="0"/>
        <w:adjustRightInd w:val="0"/>
        <w:snapToGrid w:val="0"/>
        <w:spacing w:line="580" w:lineRule="exact"/>
        <w:ind w:firstLine="640" w:firstLineChars="200"/>
        <w:outlineLvl w:val="0"/>
        <w:rPr>
          <w:rFonts w:eastAsia="黑体"/>
          <w:sz w:val="32"/>
          <w:szCs w:val="32"/>
        </w:rPr>
      </w:pPr>
      <w:r>
        <w:rPr>
          <w:rFonts w:hint="eastAsia" w:ascii="黑体" w:hAnsi="黑体" w:eastAsia="黑体"/>
          <w:sz w:val="32"/>
          <w:szCs w:val="32"/>
        </w:rPr>
        <w:t>一、单位注册</w:t>
      </w:r>
    </w:p>
    <w:p w14:paraId="50A9C0E2">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1.“单位名称”为申报人员工作单位法定全称，与“单位意见”中的单位公章一致，不得填写简称、别称，不得填写内部处（科）室或非独立法人二级单位或上级主管单位。</w:t>
      </w:r>
    </w:p>
    <w:p w14:paraId="19738BF9">
      <w:pPr>
        <w:overflowPunct w:val="0"/>
        <w:spacing w:line="580" w:lineRule="exact"/>
        <w:ind w:firstLine="640" w:firstLineChars="200"/>
        <w:rPr>
          <w:rFonts w:ascii="仿宋_GB2312" w:eastAsia="仿宋_GB2312"/>
          <w:sz w:val="32"/>
          <w:szCs w:val="32"/>
        </w:rPr>
      </w:pPr>
      <w:r>
        <w:rPr>
          <w:rFonts w:hint="eastAsia" w:ascii="仿宋_GB2312" w:eastAsia="仿宋_GB2312"/>
          <w:sz w:val="32"/>
          <w:szCs w:val="32"/>
        </w:rPr>
        <w:t>2.申报人员所在工作单位、上级主管部门和呈报部门均需通过统一社会信用代码或组织机构代码证注册单位账户。</w:t>
      </w:r>
    </w:p>
    <w:p w14:paraId="78F78D26">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二、个人基本信息</w:t>
      </w:r>
    </w:p>
    <w:p w14:paraId="12E42210">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“出生日期”以身份证出生日期为准，如与档案出生日期不一致，可在“档案出生日期”处上传证明进行修改。</w:t>
      </w:r>
    </w:p>
    <w:p w14:paraId="6C54FC6C">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社保信息可点击“获取社保缴费信息”自动提取。如未提取成功，应自行录入信息并上传社保缴费证明。</w:t>
      </w:r>
    </w:p>
    <w:p w14:paraId="2E900F0E">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3.“上传身份证明材料”处需上传身份证正反面照片。</w:t>
      </w:r>
    </w:p>
    <w:p w14:paraId="62B2030B">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4.联系电话应填写准确。</w:t>
      </w:r>
    </w:p>
    <w:p w14:paraId="03E77C54">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三、申报信息</w:t>
      </w:r>
    </w:p>
    <w:p w14:paraId="2A391E9D">
      <w:pPr>
        <w:overflowPunct w:val="0"/>
        <w:spacing w:line="580" w:lineRule="exact"/>
        <w:ind w:firstLine="640" w:firstLineChars="200"/>
        <w:rPr>
          <w:rFonts w:ascii="仿宋_GB2312" w:eastAsia="仿宋_GB2312"/>
          <w:sz w:val="32"/>
          <w:szCs w:val="32"/>
        </w:rPr>
      </w:pPr>
      <w:r>
        <w:rPr>
          <w:rFonts w:hint="eastAsia" w:ascii="仿宋_GB2312" w:eastAsia="仿宋_GB2312"/>
          <w:sz w:val="32"/>
          <w:szCs w:val="32"/>
        </w:rPr>
        <w:t>1.点击“会计专业获取个人申报信息”自动从全国会计人员统一服务管理平台获取单位性质、全日制学历学位、继续教育专业科目学分等信息。</w:t>
      </w:r>
    </w:p>
    <w:p w14:paraId="53D7B096">
      <w:pPr>
        <w:overflowPunct w:val="0"/>
        <w:spacing w:line="580" w:lineRule="exact"/>
        <w:ind w:firstLine="640" w:firstLineChars="200"/>
        <w:rPr>
          <w:rFonts w:ascii="仿宋_GB2312" w:eastAsia="仿宋_GB2312"/>
          <w:sz w:val="32"/>
          <w:szCs w:val="32"/>
        </w:rPr>
      </w:pPr>
      <w:r>
        <w:rPr>
          <w:rFonts w:hint="eastAsia" w:ascii="仿宋_GB2312" w:eastAsia="仿宋_GB2312"/>
          <w:sz w:val="32"/>
          <w:szCs w:val="32"/>
        </w:rPr>
        <w:t>2</w:t>
      </w:r>
      <w:r>
        <w:rPr>
          <w:rFonts w:ascii="仿宋_GB2312" w:eastAsia="仿宋_GB2312"/>
          <w:sz w:val="32"/>
          <w:szCs w:val="32"/>
        </w:rPr>
        <w:t>.</w:t>
      </w:r>
      <w:r>
        <w:rPr>
          <w:rFonts w:hint="eastAsia" w:ascii="仿宋_GB2312" w:eastAsia="仿宋_GB2312"/>
          <w:sz w:val="32"/>
          <w:szCs w:val="32"/>
        </w:rPr>
        <w:t>申报人员人事档案委托代管的，应在“人事代理单位”栏填写人事代理单位法定全称。</w:t>
      </w:r>
    </w:p>
    <w:p w14:paraId="24E8FF5C">
      <w:pPr>
        <w:overflowPunct w:val="0"/>
        <w:spacing w:line="580" w:lineRule="exact"/>
        <w:ind w:firstLine="640" w:firstLineChars="200"/>
        <w:rPr>
          <w:rFonts w:ascii="仿宋_GB2312" w:eastAsia="仿宋_GB2312"/>
          <w:sz w:val="32"/>
          <w:szCs w:val="32"/>
        </w:rPr>
      </w:pPr>
      <w:r>
        <w:rPr>
          <w:rFonts w:hint="eastAsia" w:ascii="仿宋_GB2312" w:eastAsia="仿宋_GB2312"/>
          <w:sz w:val="32"/>
          <w:szCs w:val="32"/>
        </w:rPr>
        <w:t>3</w:t>
      </w:r>
      <w:r>
        <w:rPr>
          <w:rFonts w:ascii="仿宋_GB2312" w:eastAsia="仿宋_GB2312"/>
          <w:sz w:val="32"/>
          <w:szCs w:val="32"/>
        </w:rPr>
        <w:t>.</w:t>
      </w:r>
      <w:r>
        <w:rPr>
          <w:rFonts w:hint="eastAsia" w:ascii="仿宋_GB2312" w:eastAsia="仿宋_GB2312"/>
          <w:sz w:val="32"/>
          <w:szCs w:val="32"/>
        </w:rPr>
        <w:t>申报人员属于劳务派遣的，应在“劳务派遣单位”栏填写劳务派遣单位法定全称。</w:t>
      </w:r>
    </w:p>
    <w:p w14:paraId="6DE3A665">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4</w:t>
      </w:r>
      <w:r>
        <w:rPr>
          <w:rFonts w:ascii="仿宋_GB2312" w:eastAsia="仿宋_GB2312"/>
          <w:sz w:val="32"/>
          <w:szCs w:val="32"/>
        </w:rPr>
        <w:t>.</w:t>
      </w:r>
      <w:r>
        <w:rPr>
          <w:rFonts w:hint="eastAsia" w:ascii="仿宋_GB2312" w:eastAsia="仿宋_GB2312"/>
          <w:sz w:val="32"/>
          <w:szCs w:val="32"/>
        </w:rPr>
        <w:t>“单位类别和规模”填写所在工作单位的类别和规模，不得填写上级主管单位的类别及规模。“单位类别”按照“事业类、企业类、医院类、会计师事务所类”的分类填写。</w:t>
      </w:r>
    </w:p>
    <w:p w14:paraId="77BF79C3">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5.“单位性质”为自动获取，无需填写。</w:t>
      </w:r>
    </w:p>
    <w:p w14:paraId="4B70C052">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四、学历信息</w:t>
      </w:r>
    </w:p>
    <w:p w14:paraId="4DB3E24F">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全日制学历信息从全国会计人员统一服务管理平台中提取。</w:t>
      </w:r>
    </w:p>
    <w:p w14:paraId="1C830E51">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“评审依据学历”为必填项，指参评本年度正高级会计师所依据的学历，评审依据学历与全日制学历可为同一学历，也可为不同学历。附件处需上传评审依据学历证明材料。</w:t>
      </w:r>
    </w:p>
    <w:p w14:paraId="71AC7DAB">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五、现专业技术职称、职业资格</w:t>
      </w:r>
    </w:p>
    <w:p w14:paraId="7D37EFAE">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1</w:t>
      </w:r>
      <w:r>
        <w:rPr>
          <w:rFonts w:ascii="仿宋_GB2312" w:eastAsia="仿宋_GB2312"/>
          <w:sz w:val="32"/>
          <w:szCs w:val="32"/>
        </w:rPr>
        <w:t>.</w:t>
      </w:r>
      <w:r>
        <w:rPr>
          <w:rFonts w:hint="eastAsia" w:ascii="仿宋_GB2312" w:eastAsia="仿宋_GB2312"/>
          <w:sz w:val="32"/>
          <w:szCs w:val="32"/>
        </w:rPr>
        <w:t>“现专业技术职称”填写目前已取得的最高级专业技术职称。</w:t>
      </w:r>
    </w:p>
    <w:p w14:paraId="49BC3AEF">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2</w:t>
      </w:r>
      <w:r>
        <w:rPr>
          <w:rFonts w:ascii="仿宋_GB2312" w:eastAsia="仿宋_GB2312"/>
          <w:sz w:val="32"/>
          <w:szCs w:val="32"/>
        </w:rPr>
        <w:t>.</w:t>
      </w:r>
      <w:r>
        <w:rPr>
          <w:rFonts w:hint="eastAsia" w:ascii="仿宋_GB2312" w:eastAsia="仿宋_GB2312"/>
          <w:sz w:val="32"/>
          <w:szCs w:val="32"/>
        </w:rPr>
        <w:t>“聘任时间”填写第一次受聘现专业技术职称的时间。</w:t>
      </w:r>
    </w:p>
    <w:p w14:paraId="068F7ACB">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六、现任（含兼任）行政职务</w:t>
      </w:r>
    </w:p>
    <w:p w14:paraId="1E8C3C70">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“现任（含兼任）行政职务”的任职单位应与所在工作单位一致，并在申报系统中上传正式任命文件原件或会议纪要原件的扫描件，所提供文件需加盖公章。</w:t>
      </w:r>
    </w:p>
    <w:p w14:paraId="17505D64">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七、任现职以来考核情况信息</w:t>
      </w:r>
    </w:p>
    <w:p w14:paraId="7BF7BCFC">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填写近</w:t>
      </w:r>
      <w:r>
        <w:rPr>
          <w:rFonts w:ascii="仿宋_GB2312" w:eastAsia="仿宋_GB2312"/>
          <w:sz w:val="32"/>
          <w:szCs w:val="32"/>
        </w:rPr>
        <w:t>5</w:t>
      </w:r>
      <w:r>
        <w:rPr>
          <w:rFonts w:hint="eastAsia" w:ascii="仿宋_GB2312" w:eastAsia="仿宋_GB2312"/>
          <w:sz w:val="32"/>
          <w:szCs w:val="32"/>
        </w:rPr>
        <w:t>个年度的考核情况，应按实际考核确定的等次填写，并在申报系统中上传正式的单位考核表。</w:t>
      </w:r>
    </w:p>
    <w:p w14:paraId="6C3D5937">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八、近五年学习培训及继续教育经历</w:t>
      </w:r>
    </w:p>
    <w:p w14:paraId="315A298C">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专业科目的继续教育情况从全国会计人员统一服务管理平台中提取；自申报年度起，近</w:t>
      </w:r>
      <w:r>
        <w:rPr>
          <w:rFonts w:ascii="仿宋_GB2312" w:eastAsia="仿宋_GB2312"/>
          <w:sz w:val="32"/>
          <w:szCs w:val="32"/>
        </w:rPr>
        <w:t>5</w:t>
      </w:r>
      <w:r>
        <w:rPr>
          <w:rFonts w:hint="eastAsia" w:ascii="仿宋_GB2312" w:eastAsia="仿宋_GB2312"/>
          <w:sz w:val="32"/>
          <w:szCs w:val="32"/>
        </w:rPr>
        <w:t>个连续年度的继续教育情况不得缺失。</w:t>
      </w:r>
    </w:p>
    <w:p w14:paraId="4CC62693">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公需科目的继续教育情况自行填写，并上传山东省专业技术人员继续教育公共服务平台的学习记录作为附件。</w:t>
      </w:r>
    </w:p>
    <w:p w14:paraId="0D93D4E4">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继续教育需填写总学分。</w:t>
      </w:r>
    </w:p>
    <w:p w14:paraId="0780BE1A">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九、任现职以来取得的代表性成果</w:t>
      </w:r>
    </w:p>
    <w:p w14:paraId="61872B7C">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填写取得高级会计师职称资格以来的代表性成果，包括“获奖</w:t>
      </w:r>
      <w:r>
        <w:rPr>
          <w:rFonts w:ascii="仿宋_GB2312" w:eastAsia="仿宋_GB2312"/>
          <w:sz w:val="32"/>
          <w:szCs w:val="32"/>
        </w:rPr>
        <w:t>/</w:t>
      </w:r>
      <w:r>
        <w:rPr>
          <w:rFonts w:hint="eastAsia" w:ascii="仿宋_GB2312" w:eastAsia="仿宋_GB2312"/>
          <w:sz w:val="32"/>
          <w:szCs w:val="32"/>
        </w:rPr>
        <w:t>表彰”“课题</w:t>
      </w:r>
      <w:r>
        <w:rPr>
          <w:rFonts w:ascii="仿宋_GB2312" w:eastAsia="仿宋_GB2312"/>
          <w:sz w:val="32"/>
          <w:szCs w:val="32"/>
        </w:rPr>
        <w:t>/</w:t>
      </w:r>
      <w:r>
        <w:rPr>
          <w:rFonts w:hint="eastAsia" w:ascii="仿宋_GB2312" w:eastAsia="仿宋_GB2312"/>
          <w:sz w:val="32"/>
          <w:szCs w:val="32"/>
        </w:rPr>
        <w:t>项目”“论文</w:t>
      </w:r>
      <w:r>
        <w:rPr>
          <w:rFonts w:ascii="仿宋_GB2312" w:eastAsia="仿宋_GB2312"/>
          <w:sz w:val="32"/>
          <w:szCs w:val="32"/>
        </w:rPr>
        <w:t>/</w:t>
      </w:r>
      <w:r>
        <w:rPr>
          <w:rFonts w:hint="eastAsia" w:ascii="仿宋_GB2312" w:eastAsia="仿宋_GB2312"/>
          <w:sz w:val="32"/>
          <w:szCs w:val="32"/>
        </w:rPr>
        <w:t>著作”“其他”4类。各项内容必须符合《标准条件》中规定的标准内容，禁止填报不符合条件的内容，填报时要严格分类填写，避免出现各类内容混填的情况。</w:t>
      </w:r>
    </w:p>
    <w:p w14:paraId="1EF0282B">
      <w:pPr>
        <w:overflowPunct w:val="0"/>
        <w:adjustRightInd w:val="0"/>
        <w:snapToGrid w:val="0"/>
        <w:spacing w:line="580" w:lineRule="exact"/>
        <w:ind w:firstLine="64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“获奖</w:t>
      </w:r>
      <w:r>
        <w:rPr>
          <w:rFonts w:ascii="仿宋_GB2312" w:eastAsia="仿宋_GB2312"/>
          <w:sz w:val="32"/>
          <w:szCs w:val="32"/>
        </w:rPr>
        <w:t>/</w:t>
      </w:r>
      <w:r>
        <w:rPr>
          <w:rFonts w:hint="eastAsia" w:ascii="仿宋_GB2312" w:eastAsia="仿宋_GB2312"/>
          <w:sz w:val="32"/>
          <w:szCs w:val="32"/>
        </w:rPr>
        <w:t>表彰”情况填写代表个人工作能力和业绩且与会计工作相关的奖项，参考《标准条件》中的第七条（工作业绩成果），“时间”填写证书落款时间。“位次”填写：成果、受奖等系个人独立完成的填写“</w:t>
      </w:r>
      <w:r>
        <w:rPr>
          <w:rFonts w:ascii="仿宋_GB2312" w:eastAsia="仿宋_GB2312"/>
          <w:sz w:val="32"/>
          <w:szCs w:val="32"/>
        </w:rPr>
        <w:t>1/1</w:t>
      </w:r>
      <w:r>
        <w:rPr>
          <w:rFonts w:hint="eastAsia" w:ascii="仿宋_GB2312" w:eastAsia="仿宋_GB2312"/>
          <w:sz w:val="32"/>
          <w:szCs w:val="32"/>
        </w:rPr>
        <w:t>”；与他人合作完成的，如：申报人为第</w:t>
      </w:r>
      <w:r>
        <w:rPr>
          <w:rFonts w:ascii="仿宋_GB2312" w:eastAsia="仿宋_GB2312"/>
          <w:sz w:val="32"/>
          <w:szCs w:val="32"/>
        </w:rPr>
        <w:t>1</w:t>
      </w:r>
      <w:r>
        <w:rPr>
          <w:rFonts w:hint="eastAsia" w:ascii="仿宋_GB2312" w:eastAsia="仿宋_GB2312"/>
          <w:sz w:val="32"/>
          <w:szCs w:val="32"/>
        </w:rPr>
        <w:t>位完成人，系</w:t>
      </w:r>
      <w:r>
        <w:rPr>
          <w:rFonts w:ascii="仿宋_GB2312" w:eastAsia="仿宋_GB2312"/>
          <w:sz w:val="32"/>
          <w:szCs w:val="32"/>
        </w:rPr>
        <w:t>3</w:t>
      </w:r>
      <w:r>
        <w:rPr>
          <w:rFonts w:hint="eastAsia" w:ascii="仿宋_GB2312" w:eastAsia="仿宋_GB2312"/>
          <w:sz w:val="32"/>
          <w:szCs w:val="32"/>
        </w:rPr>
        <w:t>人合作完成的，填写</w:t>
      </w:r>
      <w:r>
        <w:rPr>
          <w:rFonts w:ascii="仿宋_GB2312" w:eastAsia="仿宋_GB2312"/>
          <w:sz w:val="32"/>
          <w:szCs w:val="32"/>
        </w:rPr>
        <w:t>1/3</w:t>
      </w:r>
      <w:r>
        <w:rPr>
          <w:rFonts w:hint="eastAsia" w:ascii="仿宋_GB2312" w:eastAsia="仿宋_GB2312"/>
          <w:sz w:val="32"/>
          <w:szCs w:val="32"/>
        </w:rPr>
        <w:t>，为第</w:t>
      </w:r>
      <w:r>
        <w:rPr>
          <w:rFonts w:ascii="仿宋_GB2312" w:eastAsia="仿宋_GB2312"/>
          <w:sz w:val="32"/>
          <w:szCs w:val="32"/>
        </w:rPr>
        <w:t>2</w:t>
      </w:r>
      <w:r>
        <w:rPr>
          <w:rFonts w:hint="eastAsia" w:ascii="仿宋_GB2312" w:eastAsia="仿宋_GB2312"/>
          <w:sz w:val="32"/>
          <w:szCs w:val="32"/>
        </w:rPr>
        <w:t>位的，填</w:t>
      </w:r>
      <w:r>
        <w:rPr>
          <w:rFonts w:ascii="仿宋_GB2312" w:eastAsia="仿宋_GB2312"/>
          <w:sz w:val="32"/>
          <w:szCs w:val="32"/>
        </w:rPr>
        <w:t>2/3</w:t>
      </w:r>
      <w:r>
        <w:rPr>
          <w:rFonts w:hint="eastAsia" w:ascii="仿宋_GB2312" w:eastAsia="仿宋_GB2312"/>
          <w:sz w:val="32"/>
          <w:szCs w:val="32"/>
        </w:rPr>
        <w:t>，依此类推。奖项需上传获奖项目具体内容，不得仅上传证书。</w:t>
      </w:r>
    </w:p>
    <w:p w14:paraId="14FF7791">
      <w:pPr>
        <w:overflowPunct w:val="0"/>
        <w:adjustRightInd w:val="0"/>
        <w:snapToGrid w:val="0"/>
        <w:spacing w:line="580" w:lineRule="exact"/>
        <w:ind w:firstLine="64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课题需与会计工作相关，需上传课题具体内容和立项、结项证明。</w:t>
      </w:r>
    </w:p>
    <w:p w14:paraId="6623B0DE">
      <w:pPr>
        <w:overflowPunct w:val="0"/>
        <w:adjustRightInd w:val="0"/>
        <w:snapToGrid w:val="0"/>
        <w:spacing w:line="580" w:lineRule="exact"/>
        <w:ind w:firstLine="640" w:firstLineChars="200"/>
        <w:rPr>
          <w:rFonts w:ascii="仿宋_GB2312" w:eastAsia="仿宋_GB2312"/>
          <w:sz w:val="32"/>
          <w:szCs w:val="32"/>
          <w:highlight w:val="red"/>
        </w:rPr>
      </w:pPr>
      <w:r>
        <w:rPr>
          <w:rFonts w:hint="eastAsia" w:ascii="仿宋_GB2312" w:eastAsia="仿宋_GB2312"/>
          <w:sz w:val="32"/>
          <w:szCs w:val="32"/>
        </w:rPr>
        <w:t>3</w:t>
      </w:r>
      <w:r>
        <w:rPr>
          <w:rFonts w:ascii="仿宋_GB2312" w:eastAsia="仿宋_GB2312"/>
          <w:sz w:val="32"/>
          <w:szCs w:val="32"/>
        </w:rPr>
        <w:t>.</w:t>
      </w:r>
      <w:r>
        <w:rPr>
          <w:rFonts w:hint="eastAsia" w:ascii="仿宋_GB2312" w:eastAsia="仿宋_GB2312"/>
          <w:sz w:val="32"/>
          <w:szCs w:val="32"/>
        </w:rPr>
        <w:t>论文和著作指取得高级会计师职称以后的论文、著作，参考《标准条件》中的第八条（理论研究成果），不得上传用稿通知。“时间”填写期刊或著作的出版时间，“期刊或出版社”填写期刊或出版社的法定全称。“成果名称”的填写，先注明“论文”、“著作”，然后写作品名称、页数。如“论文：《信息技术条件下的会计实时控制》</w:t>
      </w:r>
      <w:r>
        <w:rPr>
          <w:rFonts w:ascii="仿宋_GB2312" w:eastAsia="仿宋_GB2312"/>
          <w:sz w:val="32"/>
          <w:szCs w:val="32"/>
        </w:rPr>
        <w:t>P35</w:t>
      </w:r>
      <w:r>
        <w:rPr>
          <w:rFonts w:hint="eastAsia" w:ascii="仿宋_GB2312" w:eastAsia="仿宋_GB2312"/>
          <w:sz w:val="32"/>
          <w:szCs w:val="32"/>
        </w:rPr>
        <w:t>”。“位次”的填写与奖励位次的要求相同。</w:t>
      </w:r>
    </w:p>
    <w:p w14:paraId="407162FC">
      <w:pPr>
        <w:overflowPunct w:val="0"/>
        <w:adjustRightInd w:val="0"/>
        <w:snapToGrid w:val="0"/>
        <w:spacing w:line="580" w:lineRule="exact"/>
        <w:ind w:firstLine="640"/>
        <w:rPr>
          <w:rFonts w:ascii="仿宋_GB2312" w:eastAsia="仿宋_GB2312"/>
          <w:sz w:val="32"/>
          <w:szCs w:val="32"/>
        </w:rPr>
      </w:pPr>
      <w:r>
        <w:rPr>
          <w:rFonts w:hint="eastAsia" w:ascii="仿宋_GB2312" w:eastAsia="仿宋_GB2312"/>
          <w:sz w:val="32"/>
          <w:szCs w:val="32"/>
        </w:rPr>
        <w:t>4</w:t>
      </w:r>
      <w:r>
        <w:rPr>
          <w:rFonts w:ascii="仿宋_GB2312" w:eastAsia="仿宋_GB2312"/>
          <w:sz w:val="32"/>
          <w:szCs w:val="32"/>
        </w:rPr>
        <w:t>.</w:t>
      </w:r>
      <w:r>
        <w:rPr>
          <w:rFonts w:hint="eastAsia" w:ascii="仿宋_GB2312" w:eastAsia="仿宋_GB2312"/>
          <w:sz w:val="32"/>
          <w:szCs w:val="32"/>
        </w:rPr>
        <w:t>符合《标准条件》中第七条（工作业绩成果）、第八条（理论研究成果）的其他成果，应在任现职以来取得的代表性成果“其他”项中上传。</w:t>
      </w:r>
    </w:p>
    <w:p w14:paraId="3D73D857">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上传的证明材料如有多个页面的，应合并扫描为</w:t>
      </w:r>
      <w:r>
        <w:rPr>
          <w:rFonts w:ascii="仿宋_GB2312" w:eastAsia="仿宋_GB2312"/>
          <w:sz w:val="32"/>
          <w:szCs w:val="32"/>
        </w:rPr>
        <w:t>1</w:t>
      </w:r>
      <w:r>
        <w:rPr>
          <w:rFonts w:hint="eastAsia" w:ascii="仿宋_GB2312" w:eastAsia="仿宋_GB2312"/>
          <w:sz w:val="32"/>
          <w:szCs w:val="32"/>
        </w:rPr>
        <w:t>个文件上传。论文材料应上传封面页、目录页、正文页和互联网搜索的数据库检索页，不得仅上传封面、目录。</w:t>
      </w:r>
    </w:p>
    <w:p w14:paraId="61F1AC90">
      <w:pPr>
        <w:overflowPunct w:val="0"/>
        <w:adjustRightInd w:val="0"/>
        <w:snapToGrid w:val="0"/>
        <w:spacing w:line="580" w:lineRule="exact"/>
        <w:ind w:firstLine="643" w:firstLineChars="200"/>
        <w:rPr>
          <w:rFonts w:ascii="仿宋_GB2312" w:hAnsi="黑体" w:eastAsia="仿宋_GB2312"/>
          <w:b/>
          <w:bCs/>
          <w:sz w:val="32"/>
          <w:szCs w:val="32"/>
        </w:rPr>
      </w:pPr>
      <w:r>
        <w:rPr>
          <w:rFonts w:hint="eastAsia" w:ascii="仿宋_GB2312" w:hAnsi="黑体" w:eastAsia="仿宋_GB2312"/>
          <w:b/>
          <w:bCs/>
          <w:sz w:val="32"/>
          <w:szCs w:val="32"/>
        </w:rPr>
        <w:t>上述材料的取得时间应在呈报材料的截止时间内，超期的不予认可，不予受理。</w:t>
      </w:r>
    </w:p>
    <w:p w14:paraId="71F3326A">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十、任现职以来主要专业技术工作成绩及表现</w:t>
      </w:r>
    </w:p>
    <w:p w14:paraId="4E4BECC4">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填写取得高级会计师职称后的工作业绩，字数（含标点符号）不多于</w:t>
      </w:r>
      <w:r>
        <w:rPr>
          <w:rFonts w:ascii="仿宋_GB2312" w:eastAsia="仿宋_GB2312"/>
          <w:sz w:val="32"/>
          <w:szCs w:val="32"/>
        </w:rPr>
        <w:t>1200</w:t>
      </w:r>
      <w:r>
        <w:rPr>
          <w:rFonts w:hint="eastAsia" w:ascii="仿宋_GB2312" w:eastAsia="仿宋_GB2312"/>
          <w:sz w:val="32"/>
          <w:szCs w:val="32"/>
        </w:rPr>
        <w:t>字。</w:t>
      </w:r>
    </w:p>
    <w:p w14:paraId="66ABA1BD">
      <w:pPr>
        <w:overflowPunct w:val="0"/>
        <w:adjustRightInd w:val="0"/>
        <w:snapToGrid w:val="0"/>
        <w:spacing w:line="580" w:lineRule="exact"/>
        <w:ind w:firstLine="640" w:firstLineChars="200"/>
        <w:rPr>
          <w:rFonts w:ascii="黑体" w:hAnsi="黑体" w:eastAsia="黑体"/>
          <w:sz w:val="32"/>
          <w:szCs w:val="32"/>
        </w:rPr>
      </w:pPr>
      <w:r>
        <w:rPr>
          <w:rFonts w:hint="eastAsia" w:ascii="黑体" w:hAnsi="黑体" w:eastAsia="黑体"/>
          <w:sz w:val="32"/>
          <w:szCs w:val="32"/>
        </w:rPr>
        <w:t>十一、其他证明附件</w:t>
      </w:r>
    </w:p>
    <w:p w14:paraId="559D8DA7">
      <w:pPr>
        <w:overflowPunct w:val="0"/>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扫描上传《推荐申报专业技术职称“六公开”监督卡》及其他证明材料。填写“六公开”监督卡应遵循以下要求：</w:t>
      </w:r>
    </w:p>
    <w:p w14:paraId="46F5654E">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“单位（盖章）”填写单位名称，与公章一致，加盖单位公章或职称专用章。</w:t>
      </w:r>
    </w:p>
    <w:p w14:paraId="28365F8C">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．“实际参加推荐的人数”指本单位组织推荐时，成立的</w:t>
      </w:r>
      <w:r>
        <w:rPr>
          <w:rFonts w:ascii="仿宋_GB2312" w:eastAsia="仿宋_GB2312"/>
          <w:sz w:val="32"/>
          <w:szCs w:val="32"/>
        </w:rPr>
        <w:t>7</w:t>
      </w:r>
      <w:r>
        <w:rPr>
          <w:rFonts w:hint="eastAsia" w:ascii="仿宋_GB2312" w:eastAsia="仿宋_GB2312"/>
          <w:sz w:val="32"/>
          <w:szCs w:val="32"/>
        </w:rPr>
        <w:t>人以上推荐委员会成员人数（不含推荐人本人，不足</w:t>
      </w:r>
      <w:r>
        <w:rPr>
          <w:rFonts w:ascii="仿宋_GB2312" w:eastAsia="仿宋_GB2312"/>
          <w:sz w:val="32"/>
          <w:szCs w:val="32"/>
        </w:rPr>
        <w:t>7</w:t>
      </w:r>
      <w:r>
        <w:rPr>
          <w:rFonts w:hint="eastAsia" w:ascii="仿宋_GB2312" w:eastAsia="仿宋_GB2312"/>
          <w:sz w:val="32"/>
          <w:szCs w:val="32"/>
        </w:rPr>
        <w:t>人的按照实际最高人数填写）；“被推荐申报人数”指此次被推荐申报正高级会计师评审的人数。</w:t>
      </w:r>
    </w:p>
    <w:p w14:paraId="54F35D18">
      <w:pPr>
        <w:overflowPunct w:val="0"/>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．“单位人事部门负责人”由人事部门负责人签字或加盖人名章；“单位领导”由单位负责人签字或加盖人名章。</w:t>
      </w:r>
    </w:p>
    <w:p w14:paraId="59576404">
      <w:pPr>
        <w:overflowPunct w:val="0"/>
        <w:adjustRightInd w:val="0"/>
        <w:snapToGrid w:val="0"/>
        <w:spacing w:line="580" w:lineRule="exact"/>
        <w:ind w:firstLine="640" w:firstLineChars="200"/>
        <w:rPr>
          <w:rFonts w:ascii="仿宋_GB2312" w:eastAsia="仿宋_GB2312"/>
          <w:sz w:val="32"/>
          <w:szCs w:val="32"/>
        </w:rPr>
      </w:pPr>
    </w:p>
    <w:p w14:paraId="5CD22A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25403E6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05DE72A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6F7F260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69B06C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53A712E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59D30E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20919B4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19C32D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1D2430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233BA12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0954DB1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1846F57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68DEF6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firstLine="5250"/>
        <w:jc w:val="left"/>
        <w:textAlignment w:val="center"/>
        <w:rPr>
          <w:rFonts w:hint="eastAsia" w:ascii="仿宋_GB2312" w:hAnsi="微软雅黑" w:eastAsia="仿宋_GB2312" w:cs="仿宋_GB2312"/>
          <w:i w:val="0"/>
          <w:iCs w:val="0"/>
          <w:caps w:val="0"/>
          <w:color w:val="212529"/>
          <w:spacing w:val="0"/>
          <w:sz w:val="31"/>
          <w:szCs w:val="31"/>
          <w:bdr w:val="none" w:color="auto" w:sz="0" w:space="0"/>
          <w:shd w:val="clear" w:fill="FFFFFF"/>
        </w:rPr>
      </w:pPr>
    </w:p>
    <w:p w14:paraId="2D8EE394">
      <w:pPr>
        <w:spacing w:line="600" w:lineRule="exact"/>
        <w:ind w:left="-141" w:leftChars="-67"/>
        <w:outlineLvl w:val="0"/>
        <w:rPr>
          <w:rFonts w:ascii="仿宋" w:hAnsi="仿宋" w:eastAsia="仿宋"/>
          <w:sz w:val="32"/>
          <w:szCs w:val="32"/>
        </w:rPr>
      </w:pPr>
      <w:r>
        <w:rPr>
          <w:rFonts w:hint="eastAsia" w:ascii="黑体" w:hAnsi="黑体" w:eastAsia="黑体" w:cs="黑体"/>
          <w:sz w:val="32"/>
          <w:szCs w:val="32"/>
        </w:rPr>
        <w:t>附件2</w:t>
      </w:r>
    </w:p>
    <w:p w14:paraId="6CAE44BD">
      <w:pPr>
        <w:spacing w:before="240" w:beforeLines="100" w:after="240" w:afterLines="10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40"/>
          <w:szCs w:val="36"/>
        </w:rPr>
        <w:t>推荐申报专业技术职称“六公开”监督卡</w:t>
      </w:r>
    </w:p>
    <w:p w14:paraId="61FE857A">
      <w:pPr>
        <w:spacing w:after="48" w:afterLines="20"/>
        <w:rPr>
          <w:rFonts w:ascii="宋体"/>
          <w:sz w:val="24"/>
        </w:rPr>
      </w:pPr>
      <w:r>
        <w:rPr>
          <w:rFonts w:hint="eastAsia" w:ascii="宋体" w:hAnsi="宋体"/>
          <w:sz w:val="24"/>
        </w:rPr>
        <w:t>单位(盖章)：                                               年   月   日</w:t>
      </w:r>
    </w:p>
    <w:tbl>
      <w:tblPr>
        <w:tblStyle w:val="3"/>
        <w:tblW w:w="94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38"/>
        <w:gridCol w:w="61"/>
        <w:gridCol w:w="581"/>
        <w:gridCol w:w="992"/>
        <w:gridCol w:w="326"/>
        <w:gridCol w:w="1899"/>
        <w:gridCol w:w="327"/>
        <w:gridCol w:w="850"/>
        <w:gridCol w:w="722"/>
        <w:gridCol w:w="696"/>
        <w:gridCol w:w="1203"/>
      </w:tblGrid>
      <w:tr w14:paraId="440A5E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1" w:hRule="exact"/>
          <w:jc w:val="center"/>
        </w:trPr>
        <w:tc>
          <w:tcPr>
            <w:tcW w:w="2480" w:type="dxa"/>
            <w:gridSpan w:val="3"/>
            <w:tcBorders>
              <w:top w:val="single" w:color="auto" w:sz="8" w:space="0"/>
              <w:left w:val="single" w:color="auto" w:sz="8" w:space="0"/>
              <w:bottom w:val="single" w:color="auto" w:sz="6" w:space="0"/>
              <w:right w:val="single" w:color="auto" w:sz="6" w:space="0"/>
            </w:tcBorders>
            <w:vAlign w:val="center"/>
          </w:tcPr>
          <w:p w14:paraId="6C21BFE0">
            <w:pPr>
              <w:jc w:val="center"/>
              <w:rPr>
                <w:rFonts w:ascii="宋体"/>
                <w:spacing w:val="4"/>
                <w:sz w:val="24"/>
                <w:szCs w:val="21"/>
              </w:rPr>
            </w:pPr>
            <w:r>
              <w:rPr>
                <w:rFonts w:hint="eastAsia" w:ascii="宋体" w:hAnsi="宋体"/>
                <w:spacing w:val="4"/>
                <w:sz w:val="24"/>
                <w:szCs w:val="21"/>
              </w:rPr>
              <w:t>专业技术人员总数</w:t>
            </w:r>
          </w:p>
        </w:tc>
        <w:tc>
          <w:tcPr>
            <w:tcW w:w="992" w:type="dxa"/>
            <w:tcBorders>
              <w:top w:val="single" w:color="auto" w:sz="8" w:space="0"/>
              <w:left w:val="single" w:color="auto" w:sz="6" w:space="0"/>
              <w:bottom w:val="single" w:color="auto" w:sz="6" w:space="0"/>
              <w:right w:val="single" w:color="auto" w:sz="6" w:space="0"/>
            </w:tcBorders>
            <w:vAlign w:val="center"/>
          </w:tcPr>
          <w:p w14:paraId="39C42CEA">
            <w:pPr>
              <w:jc w:val="center"/>
              <w:rPr>
                <w:rFonts w:ascii="宋体"/>
                <w:spacing w:val="4"/>
                <w:sz w:val="24"/>
                <w:szCs w:val="21"/>
              </w:rPr>
            </w:pPr>
          </w:p>
        </w:tc>
        <w:tc>
          <w:tcPr>
            <w:tcW w:w="2552" w:type="dxa"/>
            <w:gridSpan w:val="3"/>
            <w:tcBorders>
              <w:top w:val="single" w:color="auto" w:sz="8" w:space="0"/>
              <w:left w:val="single" w:color="auto" w:sz="6" w:space="0"/>
              <w:bottom w:val="single" w:color="auto" w:sz="6" w:space="0"/>
              <w:right w:val="single" w:color="auto" w:sz="6" w:space="0"/>
            </w:tcBorders>
            <w:vAlign w:val="center"/>
          </w:tcPr>
          <w:p w14:paraId="00674486">
            <w:pPr>
              <w:ind w:left="-143" w:leftChars="-68" w:right="-73" w:rightChars="-35"/>
              <w:jc w:val="center"/>
              <w:rPr>
                <w:rFonts w:ascii="宋体"/>
                <w:spacing w:val="4"/>
                <w:sz w:val="24"/>
                <w:szCs w:val="21"/>
              </w:rPr>
            </w:pPr>
            <w:r>
              <w:rPr>
                <w:rFonts w:hint="eastAsia" w:ascii="宋体" w:hAnsi="宋体"/>
                <w:spacing w:val="4"/>
                <w:sz w:val="24"/>
                <w:szCs w:val="21"/>
              </w:rPr>
              <w:t>实际参加推荐的人数</w:t>
            </w:r>
          </w:p>
        </w:tc>
        <w:tc>
          <w:tcPr>
            <w:tcW w:w="850" w:type="dxa"/>
            <w:tcBorders>
              <w:top w:val="single" w:color="auto" w:sz="8" w:space="0"/>
              <w:left w:val="single" w:color="auto" w:sz="6" w:space="0"/>
              <w:bottom w:val="single" w:color="auto" w:sz="6" w:space="0"/>
              <w:right w:val="single" w:color="auto" w:sz="6" w:space="0"/>
            </w:tcBorders>
            <w:vAlign w:val="center"/>
          </w:tcPr>
          <w:p w14:paraId="2A169D0A">
            <w:pPr>
              <w:jc w:val="center"/>
              <w:rPr>
                <w:rFonts w:ascii="宋体"/>
                <w:spacing w:val="4"/>
                <w:sz w:val="24"/>
                <w:szCs w:val="21"/>
              </w:rPr>
            </w:pPr>
          </w:p>
        </w:tc>
        <w:tc>
          <w:tcPr>
            <w:tcW w:w="1418" w:type="dxa"/>
            <w:gridSpan w:val="2"/>
            <w:tcBorders>
              <w:top w:val="single" w:color="auto" w:sz="8" w:space="0"/>
              <w:left w:val="single" w:color="auto" w:sz="6" w:space="0"/>
              <w:bottom w:val="single" w:color="auto" w:sz="6" w:space="0"/>
              <w:right w:val="single" w:color="auto" w:sz="6" w:space="0"/>
            </w:tcBorders>
            <w:tcMar>
              <w:top w:w="0" w:type="dxa"/>
              <w:left w:w="28" w:type="dxa"/>
              <w:bottom w:w="0" w:type="dxa"/>
              <w:right w:w="28" w:type="dxa"/>
            </w:tcMar>
            <w:vAlign w:val="center"/>
          </w:tcPr>
          <w:p w14:paraId="371764F7">
            <w:pPr>
              <w:spacing w:line="400" w:lineRule="exact"/>
              <w:jc w:val="center"/>
              <w:rPr>
                <w:rFonts w:ascii="宋体" w:hAnsi="宋体"/>
                <w:spacing w:val="4"/>
                <w:sz w:val="24"/>
                <w:szCs w:val="21"/>
              </w:rPr>
            </w:pPr>
            <w:r>
              <w:rPr>
                <w:rFonts w:hint="eastAsia" w:ascii="宋体" w:hAnsi="宋体"/>
                <w:spacing w:val="4"/>
                <w:sz w:val="24"/>
                <w:szCs w:val="21"/>
              </w:rPr>
              <w:t>被 推 荐</w:t>
            </w:r>
          </w:p>
          <w:p w14:paraId="4AE75063">
            <w:pPr>
              <w:spacing w:line="400" w:lineRule="exact"/>
              <w:jc w:val="center"/>
              <w:rPr>
                <w:rFonts w:ascii="宋体"/>
                <w:spacing w:val="4"/>
                <w:sz w:val="24"/>
                <w:szCs w:val="21"/>
              </w:rPr>
            </w:pPr>
            <w:r>
              <w:rPr>
                <w:rFonts w:hint="eastAsia" w:ascii="宋体" w:hAnsi="宋体"/>
                <w:spacing w:val="4"/>
                <w:sz w:val="24"/>
                <w:szCs w:val="21"/>
              </w:rPr>
              <w:t>申</w:t>
            </w:r>
            <w:r>
              <w:rPr>
                <w:rFonts w:hint="eastAsia" w:ascii="宋体" w:hAnsi="宋体"/>
                <w:kern w:val="0"/>
                <w:sz w:val="24"/>
                <w:szCs w:val="21"/>
              </w:rPr>
              <w:t>报人数</w:t>
            </w:r>
          </w:p>
        </w:tc>
        <w:tc>
          <w:tcPr>
            <w:tcW w:w="1203" w:type="dxa"/>
            <w:tcBorders>
              <w:top w:val="single" w:color="auto" w:sz="8" w:space="0"/>
              <w:left w:val="single" w:color="auto" w:sz="6" w:space="0"/>
              <w:bottom w:val="single" w:color="auto" w:sz="6" w:space="0"/>
              <w:right w:val="single" w:color="auto" w:sz="8" w:space="0"/>
            </w:tcBorders>
            <w:vAlign w:val="center"/>
          </w:tcPr>
          <w:p w14:paraId="169AD50F">
            <w:pPr>
              <w:jc w:val="center"/>
              <w:rPr>
                <w:rFonts w:ascii="宋体"/>
                <w:spacing w:val="4"/>
                <w:sz w:val="24"/>
                <w:szCs w:val="21"/>
              </w:rPr>
            </w:pPr>
          </w:p>
        </w:tc>
      </w:tr>
      <w:tr w14:paraId="25FE58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40" w:hRule="exact"/>
          <w:jc w:val="center"/>
        </w:trPr>
        <w:tc>
          <w:tcPr>
            <w:tcW w:w="1838" w:type="dxa"/>
            <w:tcBorders>
              <w:top w:val="single" w:color="auto" w:sz="6" w:space="0"/>
              <w:left w:val="single" w:color="auto" w:sz="8" w:space="0"/>
              <w:bottom w:val="single" w:color="auto" w:sz="6" w:space="0"/>
              <w:right w:val="single" w:color="auto" w:sz="6" w:space="0"/>
            </w:tcBorders>
            <w:vAlign w:val="center"/>
          </w:tcPr>
          <w:p w14:paraId="42DF447A">
            <w:pPr>
              <w:tabs>
                <w:tab w:val="left" w:pos="1095"/>
              </w:tabs>
              <w:jc w:val="center"/>
              <w:rPr>
                <w:rFonts w:ascii="宋体"/>
                <w:spacing w:val="4"/>
                <w:sz w:val="24"/>
                <w:szCs w:val="21"/>
              </w:rPr>
            </w:pPr>
            <w:r>
              <w:rPr>
                <w:rFonts w:hint="eastAsia" w:ascii="宋体" w:hAnsi="宋体"/>
                <w:spacing w:val="4"/>
                <w:sz w:val="24"/>
                <w:szCs w:val="21"/>
              </w:rPr>
              <w:t>“六公开”</w:t>
            </w:r>
          </w:p>
          <w:p w14:paraId="2587CFB3">
            <w:pPr>
              <w:tabs>
                <w:tab w:val="left" w:pos="1095"/>
              </w:tabs>
              <w:jc w:val="center"/>
              <w:rPr>
                <w:rFonts w:ascii="宋体"/>
                <w:spacing w:val="4"/>
                <w:sz w:val="24"/>
                <w:szCs w:val="21"/>
              </w:rPr>
            </w:pPr>
            <w:r>
              <w:rPr>
                <w:rFonts w:hint="eastAsia" w:ascii="宋体" w:hAnsi="宋体"/>
                <w:spacing w:val="4"/>
                <w:sz w:val="24"/>
                <w:szCs w:val="21"/>
              </w:rPr>
              <w:t>内    容</w:t>
            </w:r>
          </w:p>
        </w:tc>
        <w:tc>
          <w:tcPr>
            <w:tcW w:w="7657" w:type="dxa"/>
            <w:gridSpan w:val="10"/>
            <w:tcBorders>
              <w:top w:val="single" w:color="auto" w:sz="6" w:space="0"/>
              <w:left w:val="single" w:color="auto" w:sz="6" w:space="0"/>
              <w:bottom w:val="single" w:color="auto" w:sz="6" w:space="0"/>
              <w:right w:val="single" w:color="auto" w:sz="8" w:space="0"/>
            </w:tcBorders>
            <w:vAlign w:val="center"/>
          </w:tcPr>
          <w:p w14:paraId="27BE2ABE">
            <w:pPr>
              <w:spacing w:line="360" w:lineRule="exact"/>
              <w:rPr>
                <w:rFonts w:ascii="宋体"/>
                <w:spacing w:val="4"/>
                <w:sz w:val="24"/>
                <w:szCs w:val="21"/>
              </w:rPr>
            </w:pPr>
            <w:r>
              <w:rPr>
                <w:rFonts w:hint="eastAsia" w:ascii="宋体" w:hAnsi="宋体"/>
                <w:spacing w:val="4"/>
                <w:sz w:val="24"/>
                <w:szCs w:val="21"/>
              </w:rPr>
              <w:t>1、公开专业技术岗位数        4、公开申报人述职</w:t>
            </w:r>
          </w:p>
          <w:p w14:paraId="7976BFFD">
            <w:pPr>
              <w:spacing w:line="360" w:lineRule="exact"/>
              <w:rPr>
                <w:rFonts w:ascii="宋体"/>
                <w:spacing w:val="4"/>
                <w:sz w:val="24"/>
                <w:szCs w:val="21"/>
              </w:rPr>
            </w:pPr>
            <w:r>
              <w:rPr>
                <w:rFonts w:hint="eastAsia" w:ascii="宋体" w:hAnsi="宋体"/>
                <w:spacing w:val="4"/>
                <w:sz w:val="24"/>
                <w:szCs w:val="21"/>
              </w:rPr>
              <w:t>2、公开任职条件              5、公开申报人的评审材料</w:t>
            </w:r>
          </w:p>
          <w:p w14:paraId="5B753635">
            <w:pPr>
              <w:spacing w:line="360" w:lineRule="exact"/>
              <w:rPr>
                <w:rFonts w:ascii="宋体"/>
                <w:spacing w:val="4"/>
                <w:sz w:val="24"/>
                <w:szCs w:val="21"/>
              </w:rPr>
            </w:pPr>
            <w:r>
              <w:rPr>
                <w:rFonts w:hint="eastAsia" w:ascii="宋体" w:hAnsi="宋体"/>
                <w:spacing w:val="4"/>
                <w:sz w:val="24"/>
                <w:szCs w:val="21"/>
              </w:rPr>
              <w:t>3、公开推荐办法              6、公开被推荐申报人员名单</w:t>
            </w:r>
          </w:p>
        </w:tc>
      </w:tr>
      <w:tr w14:paraId="48234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495" w:type="dxa"/>
            <w:gridSpan w:val="11"/>
            <w:tcBorders>
              <w:top w:val="single" w:color="auto" w:sz="6" w:space="0"/>
              <w:left w:val="single" w:color="auto" w:sz="8" w:space="0"/>
              <w:bottom w:val="single" w:color="auto" w:sz="6" w:space="0"/>
              <w:right w:val="single" w:color="auto" w:sz="8" w:space="0"/>
            </w:tcBorders>
            <w:vAlign w:val="center"/>
          </w:tcPr>
          <w:p w14:paraId="16094C17">
            <w:pPr>
              <w:jc w:val="center"/>
              <w:rPr>
                <w:rFonts w:ascii="宋体"/>
                <w:spacing w:val="12"/>
                <w:sz w:val="24"/>
                <w:szCs w:val="21"/>
              </w:rPr>
            </w:pPr>
            <w:r>
              <w:rPr>
                <w:rFonts w:hint="eastAsia" w:ascii="宋体" w:hAnsi="宋体"/>
                <w:spacing w:val="12"/>
                <w:sz w:val="24"/>
                <w:szCs w:val="21"/>
              </w:rPr>
              <w:t>如果认为单位做到了上述要求，请在下面栏目中签名</w:t>
            </w:r>
          </w:p>
        </w:tc>
      </w:tr>
      <w:tr w14:paraId="130238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495" w:type="dxa"/>
            <w:gridSpan w:val="11"/>
            <w:tcBorders>
              <w:top w:val="single" w:color="auto" w:sz="6" w:space="0"/>
              <w:left w:val="single" w:color="auto" w:sz="8" w:space="0"/>
              <w:bottom w:val="single" w:color="auto" w:sz="6" w:space="0"/>
              <w:right w:val="single" w:color="auto" w:sz="8" w:space="0"/>
            </w:tcBorders>
            <w:vAlign w:val="center"/>
          </w:tcPr>
          <w:p w14:paraId="695DA558">
            <w:pPr>
              <w:jc w:val="center"/>
              <w:rPr>
                <w:rFonts w:ascii="宋体"/>
                <w:spacing w:val="4"/>
                <w:sz w:val="24"/>
                <w:szCs w:val="21"/>
              </w:rPr>
            </w:pPr>
            <w:r>
              <w:rPr>
                <w:rFonts w:hint="eastAsia" w:ascii="宋体" w:hAnsi="宋体"/>
                <w:spacing w:val="4"/>
                <w:sz w:val="24"/>
                <w:szCs w:val="21"/>
              </w:rPr>
              <w:t>全体专业技术人员或专业技术人员代表</w:t>
            </w:r>
          </w:p>
        </w:tc>
      </w:tr>
      <w:tr w14:paraId="3FB435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899" w:type="dxa"/>
            <w:gridSpan w:val="2"/>
            <w:tcBorders>
              <w:top w:val="single" w:color="auto" w:sz="6" w:space="0"/>
              <w:left w:val="single" w:color="auto" w:sz="8" w:space="0"/>
              <w:bottom w:val="single" w:color="auto" w:sz="6" w:space="0"/>
              <w:right w:val="single" w:color="auto" w:sz="6" w:space="0"/>
            </w:tcBorders>
            <w:vAlign w:val="center"/>
          </w:tcPr>
          <w:p w14:paraId="46B334D2">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562EE7A3">
            <w:pPr>
              <w:jc w:val="center"/>
              <w:rPr>
                <w:rFonts w:ascii="宋体"/>
                <w:spacing w:val="4"/>
                <w:szCs w:val="21"/>
              </w:rPr>
            </w:pPr>
          </w:p>
        </w:tc>
        <w:tc>
          <w:tcPr>
            <w:tcW w:w="1899" w:type="dxa"/>
            <w:tcBorders>
              <w:top w:val="single" w:color="auto" w:sz="6" w:space="0"/>
              <w:left w:val="single" w:color="auto" w:sz="6" w:space="0"/>
              <w:bottom w:val="single" w:color="auto" w:sz="6" w:space="0"/>
              <w:right w:val="single" w:color="auto" w:sz="6" w:space="0"/>
            </w:tcBorders>
            <w:vAlign w:val="center"/>
          </w:tcPr>
          <w:p w14:paraId="03E2537F">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79D9C66B">
            <w:pPr>
              <w:jc w:val="center"/>
              <w:rPr>
                <w:rFonts w:ascii="宋体"/>
                <w:spacing w:val="4"/>
                <w:szCs w:val="21"/>
              </w:rPr>
            </w:pPr>
          </w:p>
        </w:tc>
        <w:tc>
          <w:tcPr>
            <w:tcW w:w="1899" w:type="dxa"/>
            <w:gridSpan w:val="2"/>
            <w:tcBorders>
              <w:top w:val="single" w:color="auto" w:sz="6" w:space="0"/>
              <w:left w:val="single" w:color="auto" w:sz="6" w:space="0"/>
              <w:bottom w:val="single" w:color="auto" w:sz="6" w:space="0"/>
              <w:right w:val="single" w:color="auto" w:sz="8" w:space="0"/>
            </w:tcBorders>
            <w:vAlign w:val="center"/>
          </w:tcPr>
          <w:p w14:paraId="72030EEB">
            <w:pPr>
              <w:jc w:val="center"/>
              <w:rPr>
                <w:rFonts w:ascii="宋体"/>
                <w:spacing w:val="4"/>
                <w:szCs w:val="21"/>
              </w:rPr>
            </w:pPr>
          </w:p>
        </w:tc>
      </w:tr>
      <w:tr w14:paraId="172A5B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899" w:type="dxa"/>
            <w:gridSpan w:val="2"/>
            <w:tcBorders>
              <w:top w:val="single" w:color="auto" w:sz="6" w:space="0"/>
              <w:left w:val="single" w:color="auto" w:sz="8" w:space="0"/>
              <w:bottom w:val="single" w:color="auto" w:sz="6" w:space="0"/>
              <w:right w:val="single" w:color="auto" w:sz="6" w:space="0"/>
            </w:tcBorders>
            <w:vAlign w:val="center"/>
          </w:tcPr>
          <w:p w14:paraId="60555DEA">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7CEF8C21">
            <w:pPr>
              <w:jc w:val="center"/>
              <w:rPr>
                <w:rFonts w:ascii="宋体"/>
                <w:spacing w:val="4"/>
                <w:szCs w:val="21"/>
              </w:rPr>
            </w:pPr>
          </w:p>
        </w:tc>
        <w:tc>
          <w:tcPr>
            <w:tcW w:w="1899" w:type="dxa"/>
            <w:tcBorders>
              <w:top w:val="single" w:color="auto" w:sz="6" w:space="0"/>
              <w:left w:val="single" w:color="auto" w:sz="6" w:space="0"/>
              <w:bottom w:val="single" w:color="auto" w:sz="6" w:space="0"/>
              <w:right w:val="single" w:color="auto" w:sz="6" w:space="0"/>
            </w:tcBorders>
            <w:vAlign w:val="center"/>
          </w:tcPr>
          <w:p w14:paraId="40D39F17">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05144CD3">
            <w:pPr>
              <w:jc w:val="center"/>
              <w:rPr>
                <w:rFonts w:ascii="宋体"/>
                <w:spacing w:val="4"/>
                <w:szCs w:val="21"/>
              </w:rPr>
            </w:pPr>
          </w:p>
        </w:tc>
        <w:tc>
          <w:tcPr>
            <w:tcW w:w="1899" w:type="dxa"/>
            <w:gridSpan w:val="2"/>
            <w:tcBorders>
              <w:top w:val="single" w:color="auto" w:sz="6" w:space="0"/>
              <w:left w:val="single" w:color="auto" w:sz="6" w:space="0"/>
              <w:bottom w:val="single" w:color="auto" w:sz="6" w:space="0"/>
              <w:right w:val="single" w:color="auto" w:sz="8" w:space="0"/>
            </w:tcBorders>
            <w:vAlign w:val="center"/>
          </w:tcPr>
          <w:p w14:paraId="63CB1CC6">
            <w:pPr>
              <w:jc w:val="center"/>
              <w:rPr>
                <w:rFonts w:ascii="宋体"/>
                <w:spacing w:val="4"/>
                <w:szCs w:val="21"/>
              </w:rPr>
            </w:pPr>
          </w:p>
        </w:tc>
      </w:tr>
      <w:tr w14:paraId="5F832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899" w:type="dxa"/>
            <w:gridSpan w:val="2"/>
            <w:tcBorders>
              <w:top w:val="single" w:color="auto" w:sz="6" w:space="0"/>
              <w:left w:val="single" w:color="auto" w:sz="8" w:space="0"/>
              <w:bottom w:val="single" w:color="auto" w:sz="6" w:space="0"/>
              <w:right w:val="single" w:color="auto" w:sz="6" w:space="0"/>
            </w:tcBorders>
            <w:vAlign w:val="center"/>
          </w:tcPr>
          <w:p w14:paraId="2C99C652">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2B5698A4">
            <w:pPr>
              <w:jc w:val="center"/>
              <w:rPr>
                <w:rFonts w:ascii="宋体"/>
                <w:spacing w:val="4"/>
                <w:szCs w:val="21"/>
              </w:rPr>
            </w:pPr>
          </w:p>
        </w:tc>
        <w:tc>
          <w:tcPr>
            <w:tcW w:w="1899" w:type="dxa"/>
            <w:tcBorders>
              <w:top w:val="single" w:color="auto" w:sz="6" w:space="0"/>
              <w:left w:val="single" w:color="auto" w:sz="6" w:space="0"/>
              <w:bottom w:val="single" w:color="auto" w:sz="6" w:space="0"/>
              <w:right w:val="single" w:color="auto" w:sz="6" w:space="0"/>
            </w:tcBorders>
            <w:vAlign w:val="center"/>
          </w:tcPr>
          <w:p w14:paraId="5BC32F4D">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75AFEC6B">
            <w:pPr>
              <w:jc w:val="center"/>
              <w:rPr>
                <w:rFonts w:ascii="宋体"/>
                <w:spacing w:val="4"/>
                <w:szCs w:val="21"/>
              </w:rPr>
            </w:pPr>
          </w:p>
        </w:tc>
        <w:tc>
          <w:tcPr>
            <w:tcW w:w="1899" w:type="dxa"/>
            <w:gridSpan w:val="2"/>
            <w:tcBorders>
              <w:top w:val="single" w:color="auto" w:sz="6" w:space="0"/>
              <w:left w:val="single" w:color="auto" w:sz="6" w:space="0"/>
              <w:bottom w:val="single" w:color="auto" w:sz="6" w:space="0"/>
              <w:right w:val="single" w:color="auto" w:sz="8" w:space="0"/>
            </w:tcBorders>
            <w:vAlign w:val="center"/>
          </w:tcPr>
          <w:p w14:paraId="146DC220">
            <w:pPr>
              <w:jc w:val="center"/>
              <w:rPr>
                <w:rFonts w:ascii="宋体"/>
                <w:spacing w:val="4"/>
                <w:szCs w:val="21"/>
              </w:rPr>
            </w:pPr>
          </w:p>
        </w:tc>
      </w:tr>
      <w:tr w14:paraId="456A8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899" w:type="dxa"/>
            <w:gridSpan w:val="2"/>
            <w:tcBorders>
              <w:top w:val="single" w:color="auto" w:sz="6" w:space="0"/>
              <w:left w:val="single" w:color="auto" w:sz="8" w:space="0"/>
              <w:bottom w:val="single" w:color="auto" w:sz="6" w:space="0"/>
              <w:right w:val="single" w:color="auto" w:sz="6" w:space="0"/>
            </w:tcBorders>
            <w:vAlign w:val="center"/>
          </w:tcPr>
          <w:p w14:paraId="411D7795">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250F600C">
            <w:pPr>
              <w:jc w:val="center"/>
              <w:rPr>
                <w:rFonts w:ascii="宋体"/>
                <w:spacing w:val="4"/>
                <w:szCs w:val="21"/>
              </w:rPr>
            </w:pPr>
          </w:p>
        </w:tc>
        <w:tc>
          <w:tcPr>
            <w:tcW w:w="1899" w:type="dxa"/>
            <w:tcBorders>
              <w:top w:val="single" w:color="auto" w:sz="6" w:space="0"/>
              <w:left w:val="single" w:color="auto" w:sz="6" w:space="0"/>
              <w:bottom w:val="single" w:color="auto" w:sz="6" w:space="0"/>
              <w:right w:val="single" w:color="auto" w:sz="6" w:space="0"/>
            </w:tcBorders>
            <w:vAlign w:val="center"/>
          </w:tcPr>
          <w:p w14:paraId="52CC2EBD">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0C00442B">
            <w:pPr>
              <w:jc w:val="center"/>
              <w:rPr>
                <w:rFonts w:ascii="宋体"/>
                <w:spacing w:val="4"/>
                <w:szCs w:val="21"/>
              </w:rPr>
            </w:pPr>
          </w:p>
        </w:tc>
        <w:tc>
          <w:tcPr>
            <w:tcW w:w="1899" w:type="dxa"/>
            <w:gridSpan w:val="2"/>
            <w:tcBorders>
              <w:top w:val="single" w:color="auto" w:sz="6" w:space="0"/>
              <w:left w:val="single" w:color="auto" w:sz="6" w:space="0"/>
              <w:bottom w:val="single" w:color="auto" w:sz="6" w:space="0"/>
              <w:right w:val="single" w:color="auto" w:sz="8" w:space="0"/>
            </w:tcBorders>
            <w:vAlign w:val="center"/>
          </w:tcPr>
          <w:p w14:paraId="3E18F42D">
            <w:pPr>
              <w:jc w:val="center"/>
              <w:rPr>
                <w:rFonts w:ascii="宋体"/>
                <w:spacing w:val="4"/>
                <w:szCs w:val="21"/>
              </w:rPr>
            </w:pPr>
          </w:p>
        </w:tc>
      </w:tr>
      <w:tr w14:paraId="1C09BC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899" w:type="dxa"/>
            <w:gridSpan w:val="2"/>
            <w:tcBorders>
              <w:top w:val="single" w:color="auto" w:sz="6" w:space="0"/>
              <w:left w:val="single" w:color="auto" w:sz="8" w:space="0"/>
              <w:bottom w:val="single" w:color="auto" w:sz="6" w:space="0"/>
              <w:right w:val="single" w:color="auto" w:sz="6" w:space="0"/>
            </w:tcBorders>
            <w:vAlign w:val="center"/>
          </w:tcPr>
          <w:p w14:paraId="00287490">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1AFADF18">
            <w:pPr>
              <w:jc w:val="center"/>
              <w:rPr>
                <w:rFonts w:ascii="宋体"/>
                <w:spacing w:val="4"/>
                <w:szCs w:val="21"/>
              </w:rPr>
            </w:pPr>
          </w:p>
        </w:tc>
        <w:tc>
          <w:tcPr>
            <w:tcW w:w="1899" w:type="dxa"/>
            <w:tcBorders>
              <w:top w:val="single" w:color="auto" w:sz="6" w:space="0"/>
              <w:left w:val="single" w:color="auto" w:sz="6" w:space="0"/>
              <w:bottom w:val="single" w:color="auto" w:sz="6" w:space="0"/>
              <w:right w:val="single" w:color="auto" w:sz="6" w:space="0"/>
            </w:tcBorders>
            <w:vAlign w:val="center"/>
          </w:tcPr>
          <w:p w14:paraId="37EBF535">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4D6E127C">
            <w:pPr>
              <w:jc w:val="center"/>
              <w:rPr>
                <w:rFonts w:ascii="宋体"/>
                <w:spacing w:val="4"/>
                <w:szCs w:val="21"/>
              </w:rPr>
            </w:pPr>
          </w:p>
        </w:tc>
        <w:tc>
          <w:tcPr>
            <w:tcW w:w="1899" w:type="dxa"/>
            <w:gridSpan w:val="2"/>
            <w:tcBorders>
              <w:top w:val="single" w:color="auto" w:sz="6" w:space="0"/>
              <w:left w:val="single" w:color="auto" w:sz="6" w:space="0"/>
              <w:bottom w:val="single" w:color="auto" w:sz="6" w:space="0"/>
              <w:right w:val="single" w:color="auto" w:sz="8" w:space="0"/>
            </w:tcBorders>
            <w:vAlign w:val="center"/>
          </w:tcPr>
          <w:p w14:paraId="0E7E1840">
            <w:pPr>
              <w:jc w:val="center"/>
              <w:rPr>
                <w:rFonts w:ascii="宋体"/>
                <w:spacing w:val="4"/>
                <w:szCs w:val="21"/>
              </w:rPr>
            </w:pPr>
          </w:p>
        </w:tc>
      </w:tr>
      <w:tr w14:paraId="3B42F0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899" w:type="dxa"/>
            <w:gridSpan w:val="2"/>
            <w:tcBorders>
              <w:top w:val="single" w:color="auto" w:sz="6" w:space="0"/>
              <w:left w:val="single" w:color="auto" w:sz="8" w:space="0"/>
              <w:bottom w:val="single" w:color="auto" w:sz="6" w:space="0"/>
              <w:right w:val="single" w:color="auto" w:sz="6" w:space="0"/>
            </w:tcBorders>
            <w:vAlign w:val="center"/>
          </w:tcPr>
          <w:p w14:paraId="63193B9B">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59984B3C">
            <w:pPr>
              <w:jc w:val="center"/>
              <w:rPr>
                <w:rFonts w:ascii="宋体"/>
                <w:spacing w:val="4"/>
                <w:szCs w:val="21"/>
              </w:rPr>
            </w:pPr>
          </w:p>
        </w:tc>
        <w:tc>
          <w:tcPr>
            <w:tcW w:w="1899" w:type="dxa"/>
            <w:tcBorders>
              <w:top w:val="single" w:color="auto" w:sz="6" w:space="0"/>
              <w:left w:val="single" w:color="auto" w:sz="6" w:space="0"/>
              <w:bottom w:val="single" w:color="auto" w:sz="6" w:space="0"/>
              <w:right w:val="single" w:color="auto" w:sz="6" w:space="0"/>
            </w:tcBorders>
            <w:vAlign w:val="center"/>
          </w:tcPr>
          <w:p w14:paraId="7BCFE10F">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5BCE5B21">
            <w:pPr>
              <w:jc w:val="center"/>
              <w:rPr>
                <w:rFonts w:ascii="宋体"/>
                <w:spacing w:val="4"/>
                <w:szCs w:val="21"/>
              </w:rPr>
            </w:pPr>
          </w:p>
        </w:tc>
        <w:tc>
          <w:tcPr>
            <w:tcW w:w="1899" w:type="dxa"/>
            <w:gridSpan w:val="2"/>
            <w:tcBorders>
              <w:top w:val="single" w:color="auto" w:sz="6" w:space="0"/>
              <w:left w:val="single" w:color="auto" w:sz="6" w:space="0"/>
              <w:bottom w:val="single" w:color="auto" w:sz="6" w:space="0"/>
              <w:right w:val="single" w:color="auto" w:sz="8" w:space="0"/>
            </w:tcBorders>
            <w:vAlign w:val="center"/>
          </w:tcPr>
          <w:p w14:paraId="6B0FDCE2">
            <w:pPr>
              <w:jc w:val="center"/>
              <w:rPr>
                <w:rFonts w:ascii="宋体"/>
                <w:spacing w:val="4"/>
                <w:szCs w:val="21"/>
              </w:rPr>
            </w:pPr>
          </w:p>
        </w:tc>
      </w:tr>
      <w:tr w14:paraId="4887B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899" w:type="dxa"/>
            <w:gridSpan w:val="2"/>
            <w:tcBorders>
              <w:top w:val="single" w:color="auto" w:sz="6" w:space="0"/>
              <w:left w:val="single" w:color="auto" w:sz="8" w:space="0"/>
              <w:bottom w:val="single" w:color="auto" w:sz="6" w:space="0"/>
              <w:right w:val="single" w:color="auto" w:sz="6" w:space="0"/>
            </w:tcBorders>
            <w:vAlign w:val="center"/>
          </w:tcPr>
          <w:p w14:paraId="3E82BDEB">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432F12A5">
            <w:pPr>
              <w:jc w:val="center"/>
              <w:rPr>
                <w:rFonts w:ascii="宋体"/>
                <w:spacing w:val="4"/>
                <w:szCs w:val="21"/>
              </w:rPr>
            </w:pPr>
          </w:p>
        </w:tc>
        <w:tc>
          <w:tcPr>
            <w:tcW w:w="1899" w:type="dxa"/>
            <w:tcBorders>
              <w:top w:val="single" w:color="auto" w:sz="6" w:space="0"/>
              <w:left w:val="single" w:color="auto" w:sz="6" w:space="0"/>
              <w:bottom w:val="single" w:color="auto" w:sz="6" w:space="0"/>
              <w:right w:val="single" w:color="auto" w:sz="6" w:space="0"/>
            </w:tcBorders>
            <w:vAlign w:val="center"/>
          </w:tcPr>
          <w:p w14:paraId="7BEBDD57">
            <w:pPr>
              <w:jc w:val="center"/>
              <w:rPr>
                <w:rFonts w:ascii="宋体"/>
                <w:spacing w:val="4"/>
                <w:szCs w:val="21"/>
              </w:rPr>
            </w:pPr>
          </w:p>
        </w:tc>
        <w:tc>
          <w:tcPr>
            <w:tcW w:w="1899" w:type="dxa"/>
            <w:gridSpan w:val="3"/>
            <w:tcBorders>
              <w:top w:val="single" w:color="auto" w:sz="6" w:space="0"/>
              <w:left w:val="single" w:color="auto" w:sz="6" w:space="0"/>
              <w:bottom w:val="single" w:color="auto" w:sz="6" w:space="0"/>
              <w:right w:val="single" w:color="auto" w:sz="6" w:space="0"/>
            </w:tcBorders>
            <w:vAlign w:val="center"/>
          </w:tcPr>
          <w:p w14:paraId="19E92D05">
            <w:pPr>
              <w:jc w:val="center"/>
              <w:rPr>
                <w:rFonts w:ascii="宋体"/>
                <w:spacing w:val="4"/>
                <w:szCs w:val="21"/>
              </w:rPr>
            </w:pPr>
          </w:p>
        </w:tc>
        <w:tc>
          <w:tcPr>
            <w:tcW w:w="1899" w:type="dxa"/>
            <w:gridSpan w:val="2"/>
            <w:tcBorders>
              <w:top w:val="single" w:color="auto" w:sz="6" w:space="0"/>
              <w:left w:val="single" w:color="auto" w:sz="6" w:space="0"/>
              <w:bottom w:val="single" w:color="auto" w:sz="6" w:space="0"/>
              <w:right w:val="single" w:color="auto" w:sz="8" w:space="0"/>
            </w:tcBorders>
            <w:vAlign w:val="center"/>
          </w:tcPr>
          <w:p w14:paraId="0DADD888">
            <w:pPr>
              <w:jc w:val="center"/>
              <w:rPr>
                <w:rFonts w:ascii="宋体"/>
                <w:spacing w:val="4"/>
                <w:szCs w:val="21"/>
              </w:rPr>
            </w:pPr>
          </w:p>
        </w:tc>
      </w:tr>
      <w:tr w14:paraId="257FA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8" w:hRule="exact"/>
          <w:jc w:val="center"/>
        </w:trPr>
        <w:tc>
          <w:tcPr>
            <w:tcW w:w="1899" w:type="dxa"/>
            <w:gridSpan w:val="2"/>
            <w:tcBorders>
              <w:top w:val="single" w:color="auto" w:sz="8" w:space="0"/>
              <w:left w:val="single" w:color="auto" w:sz="8" w:space="0"/>
              <w:bottom w:val="single" w:color="auto" w:sz="6" w:space="0"/>
              <w:right w:val="single" w:color="auto" w:sz="6" w:space="0"/>
            </w:tcBorders>
            <w:vAlign w:val="center"/>
          </w:tcPr>
          <w:p w14:paraId="1C64834C">
            <w:pPr>
              <w:spacing w:line="400" w:lineRule="exact"/>
              <w:jc w:val="center"/>
              <w:rPr>
                <w:rFonts w:ascii="宋体" w:hAnsi="宋体"/>
                <w:spacing w:val="4"/>
                <w:sz w:val="24"/>
                <w:szCs w:val="21"/>
              </w:rPr>
            </w:pPr>
            <w:r>
              <w:rPr>
                <w:rFonts w:hint="eastAsia" w:ascii="宋体" w:hAnsi="宋体"/>
                <w:spacing w:val="4"/>
                <w:sz w:val="24"/>
                <w:szCs w:val="21"/>
              </w:rPr>
              <w:t>单位人事</w:t>
            </w:r>
          </w:p>
          <w:p w14:paraId="6C48D3C3">
            <w:pPr>
              <w:spacing w:line="400" w:lineRule="exact"/>
              <w:jc w:val="center"/>
              <w:rPr>
                <w:rFonts w:ascii="宋体"/>
                <w:spacing w:val="4"/>
                <w:sz w:val="24"/>
                <w:szCs w:val="21"/>
              </w:rPr>
            </w:pPr>
            <w:r>
              <w:rPr>
                <w:rFonts w:hint="eastAsia" w:ascii="宋体" w:hAnsi="宋体"/>
                <w:spacing w:val="4"/>
                <w:sz w:val="24"/>
                <w:szCs w:val="21"/>
              </w:rPr>
              <w:t>部门负责人</w:t>
            </w:r>
          </w:p>
        </w:tc>
        <w:tc>
          <w:tcPr>
            <w:tcW w:w="1899" w:type="dxa"/>
            <w:gridSpan w:val="3"/>
            <w:tcBorders>
              <w:top w:val="single" w:color="auto" w:sz="8" w:space="0"/>
              <w:left w:val="single" w:color="auto" w:sz="6" w:space="0"/>
              <w:bottom w:val="single" w:color="auto" w:sz="6" w:space="0"/>
              <w:right w:val="single" w:color="auto" w:sz="6" w:space="0"/>
            </w:tcBorders>
            <w:vAlign w:val="center"/>
          </w:tcPr>
          <w:p w14:paraId="0B1AD58A">
            <w:pPr>
              <w:jc w:val="center"/>
              <w:rPr>
                <w:rFonts w:ascii="宋体"/>
                <w:spacing w:val="4"/>
                <w:szCs w:val="21"/>
              </w:rPr>
            </w:pPr>
          </w:p>
        </w:tc>
        <w:tc>
          <w:tcPr>
            <w:tcW w:w="1899" w:type="dxa"/>
            <w:tcBorders>
              <w:top w:val="single" w:color="auto" w:sz="8" w:space="0"/>
              <w:left w:val="single" w:color="auto" w:sz="6" w:space="0"/>
              <w:bottom w:val="single" w:color="auto" w:sz="6" w:space="0"/>
              <w:right w:val="single" w:color="auto" w:sz="6" w:space="0"/>
            </w:tcBorders>
            <w:vAlign w:val="center"/>
          </w:tcPr>
          <w:p w14:paraId="7B2AC233">
            <w:pPr>
              <w:jc w:val="center"/>
              <w:rPr>
                <w:rFonts w:ascii="宋体"/>
                <w:spacing w:val="4"/>
                <w:szCs w:val="21"/>
              </w:rPr>
            </w:pPr>
          </w:p>
        </w:tc>
        <w:tc>
          <w:tcPr>
            <w:tcW w:w="1899" w:type="dxa"/>
            <w:gridSpan w:val="3"/>
            <w:tcBorders>
              <w:top w:val="single" w:color="auto" w:sz="8" w:space="0"/>
              <w:left w:val="single" w:color="auto" w:sz="6" w:space="0"/>
              <w:bottom w:val="single" w:color="auto" w:sz="6" w:space="0"/>
              <w:right w:val="single" w:color="auto" w:sz="6" w:space="0"/>
            </w:tcBorders>
            <w:vAlign w:val="center"/>
          </w:tcPr>
          <w:p w14:paraId="51469E33">
            <w:pPr>
              <w:jc w:val="center"/>
              <w:rPr>
                <w:rFonts w:ascii="宋体"/>
                <w:spacing w:val="4"/>
                <w:szCs w:val="21"/>
              </w:rPr>
            </w:pPr>
          </w:p>
        </w:tc>
        <w:tc>
          <w:tcPr>
            <w:tcW w:w="1899" w:type="dxa"/>
            <w:gridSpan w:val="2"/>
            <w:tcBorders>
              <w:top w:val="single" w:color="auto" w:sz="8" w:space="0"/>
              <w:left w:val="single" w:color="auto" w:sz="6" w:space="0"/>
              <w:bottom w:val="single" w:color="auto" w:sz="6" w:space="0"/>
              <w:right w:val="single" w:color="auto" w:sz="8" w:space="0"/>
            </w:tcBorders>
            <w:vAlign w:val="center"/>
          </w:tcPr>
          <w:p w14:paraId="5AE1EC67">
            <w:pPr>
              <w:jc w:val="center"/>
              <w:rPr>
                <w:rFonts w:ascii="宋体"/>
                <w:spacing w:val="4"/>
                <w:szCs w:val="21"/>
              </w:rPr>
            </w:pPr>
          </w:p>
        </w:tc>
      </w:tr>
      <w:tr w14:paraId="200D1D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899" w:type="dxa"/>
            <w:gridSpan w:val="2"/>
            <w:tcBorders>
              <w:top w:val="single" w:color="auto" w:sz="6" w:space="0"/>
              <w:left w:val="single" w:color="auto" w:sz="8" w:space="0"/>
              <w:bottom w:val="single" w:color="auto" w:sz="8" w:space="0"/>
              <w:right w:val="single" w:color="auto" w:sz="6" w:space="0"/>
            </w:tcBorders>
            <w:vAlign w:val="center"/>
          </w:tcPr>
          <w:p w14:paraId="05154E51">
            <w:pPr>
              <w:jc w:val="center"/>
              <w:rPr>
                <w:rFonts w:ascii="宋体"/>
                <w:spacing w:val="4"/>
                <w:sz w:val="24"/>
                <w:szCs w:val="21"/>
              </w:rPr>
            </w:pPr>
            <w:r>
              <w:rPr>
                <w:rFonts w:hint="eastAsia" w:ascii="宋体" w:hAnsi="宋体"/>
                <w:spacing w:val="30"/>
                <w:kern w:val="0"/>
                <w:sz w:val="24"/>
                <w:szCs w:val="21"/>
              </w:rPr>
              <w:t>单位领导</w:t>
            </w:r>
          </w:p>
        </w:tc>
        <w:tc>
          <w:tcPr>
            <w:tcW w:w="1899" w:type="dxa"/>
            <w:gridSpan w:val="3"/>
            <w:tcBorders>
              <w:top w:val="single" w:color="auto" w:sz="6" w:space="0"/>
              <w:left w:val="single" w:color="auto" w:sz="6" w:space="0"/>
              <w:bottom w:val="single" w:color="auto" w:sz="8" w:space="0"/>
              <w:right w:val="single" w:color="auto" w:sz="6" w:space="0"/>
            </w:tcBorders>
            <w:vAlign w:val="center"/>
          </w:tcPr>
          <w:p w14:paraId="13629E3F">
            <w:pPr>
              <w:jc w:val="center"/>
              <w:rPr>
                <w:rFonts w:ascii="宋体"/>
                <w:spacing w:val="4"/>
                <w:szCs w:val="21"/>
              </w:rPr>
            </w:pPr>
          </w:p>
        </w:tc>
        <w:tc>
          <w:tcPr>
            <w:tcW w:w="1899" w:type="dxa"/>
            <w:tcBorders>
              <w:top w:val="single" w:color="auto" w:sz="6" w:space="0"/>
              <w:left w:val="single" w:color="auto" w:sz="6" w:space="0"/>
              <w:bottom w:val="single" w:color="auto" w:sz="8" w:space="0"/>
              <w:right w:val="single" w:color="auto" w:sz="6" w:space="0"/>
            </w:tcBorders>
            <w:vAlign w:val="center"/>
          </w:tcPr>
          <w:p w14:paraId="739189EA">
            <w:pPr>
              <w:jc w:val="center"/>
              <w:rPr>
                <w:rFonts w:ascii="宋体"/>
                <w:spacing w:val="4"/>
                <w:szCs w:val="21"/>
              </w:rPr>
            </w:pPr>
          </w:p>
        </w:tc>
        <w:tc>
          <w:tcPr>
            <w:tcW w:w="1899" w:type="dxa"/>
            <w:gridSpan w:val="3"/>
            <w:tcBorders>
              <w:top w:val="single" w:color="auto" w:sz="6" w:space="0"/>
              <w:left w:val="single" w:color="auto" w:sz="6" w:space="0"/>
              <w:bottom w:val="single" w:color="auto" w:sz="8" w:space="0"/>
              <w:right w:val="single" w:color="auto" w:sz="6" w:space="0"/>
            </w:tcBorders>
            <w:vAlign w:val="center"/>
          </w:tcPr>
          <w:p w14:paraId="307BF88F">
            <w:pPr>
              <w:jc w:val="center"/>
              <w:rPr>
                <w:rFonts w:ascii="宋体"/>
                <w:spacing w:val="4"/>
                <w:szCs w:val="21"/>
              </w:rPr>
            </w:pPr>
          </w:p>
        </w:tc>
        <w:tc>
          <w:tcPr>
            <w:tcW w:w="1899" w:type="dxa"/>
            <w:gridSpan w:val="2"/>
            <w:tcBorders>
              <w:top w:val="single" w:color="auto" w:sz="6" w:space="0"/>
              <w:left w:val="single" w:color="auto" w:sz="6" w:space="0"/>
              <w:bottom w:val="single" w:color="auto" w:sz="8" w:space="0"/>
              <w:right w:val="single" w:color="auto" w:sz="8" w:space="0"/>
            </w:tcBorders>
            <w:vAlign w:val="center"/>
          </w:tcPr>
          <w:p w14:paraId="61A4A512">
            <w:pPr>
              <w:jc w:val="center"/>
              <w:rPr>
                <w:rFonts w:ascii="宋体"/>
                <w:spacing w:val="4"/>
                <w:szCs w:val="21"/>
              </w:rPr>
            </w:pPr>
          </w:p>
        </w:tc>
      </w:tr>
    </w:tbl>
    <w:p w14:paraId="2FFF4BF8">
      <w:pPr>
        <w:spacing w:line="240" w:lineRule="exact"/>
        <w:ind w:left="1079" w:leftChars="114" w:hanging="840" w:hangingChars="350"/>
        <w:rPr>
          <w:rFonts w:ascii="宋体" w:hAnsi="宋体"/>
          <w:sz w:val="24"/>
        </w:rPr>
      </w:pPr>
    </w:p>
    <w:p w14:paraId="07D25309">
      <w:pPr>
        <w:spacing w:line="300" w:lineRule="exact"/>
        <w:ind w:left="1079" w:leftChars="114" w:hanging="840" w:hangingChars="350"/>
        <w:rPr>
          <w:rFonts w:ascii="宋体"/>
          <w:sz w:val="24"/>
        </w:rPr>
      </w:pPr>
      <w:r>
        <w:rPr>
          <w:rFonts w:hint="eastAsia" w:ascii="宋体" w:hAnsi="宋体"/>
          <w:sz w:val="24"/>
        </w:rPr>
        <w:t>注：1．单位人数少的由全体专业技术人员签名，人数较多的可由下属二级单位推选出一定数量的代表签名。</w:t>
      </w:r>
    </w:p>
    <w:p w14:paraId="458A0541">
      <w:pPr>
        <w:spacing w:line="300" w:lineRule="exact"/>
        <w:ind w:firstLine="720" w:firstLineChars="300"/>
        <w:rPr>
          <w:rFonts w:ascii="宋体"/>
          <w:sz w:val="24"/>
        </w:rPr>
      </w:pPr>
      <w:r>
        <w:rPr>
          <w:rFonts w:hint="eastAsia" w:ascii="宋体" w:hAnsi="宋体"/>
          <w:sz w:val="24"/>
        </w:rPr>
        <w:t>2．未签名人员要另外注明原因。</w:t>
      </w:r>
    </w:p>
    <w:p w14:paraId="0CF0ABB9">
      <w:pPr>
        <w:spacing w:line="300" w:lineRule="exact"/>
        <w:ind w:firstLine="720" w:firstLineChars="300"/>
        <w:rPr>
          <w:rFonts w:hint="eastAsia" w:ascii="宋体" w:hAnsi="宋体"/>
          <w:sz w:val="24"/>
        </w:rPr>
      </w:pPr>
      <w:r>
        <w:rPr>
          <w:rFonts w:hint="eastAsia" w:ascii="宋体" w:hAnsi="宋体"/>
          <w:sz w:val="24"/>
        </w:rPr>
        <w:t>3．此卡报相应评审委员会和人事部门各一份。</w:t>
      </w:r>
    </w:p>
    <w:p w14:paraId="5ED788F4">
      <w:pPr>
        <w:spacing w:line="300" w:lineRule="exact"/>
        <w:jc w:val="right"/>
      </w:pPr>
      <w:r>
        <w:rPr>
          <w:rFonts w:hint="eastAsia" w:eastAsia="黑体"/>
          <w:sz w:val="24"/>
        </w:rPr>
        <w:t>山东省人力资源和社会保障厅制</w:t>
      </w:r>
      <w:bookmarkStart w:id="0" w:name="_GoBack"/>
      <w:bookmarkEnd w:id="0"/>
    </w:p>
    <w:sectPr>
      <w:pgSz w:w="11906" w:h="16838"/>
      <w:pgMar w:top="2041" w:right="1474" w:bottom="1757"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altName w:val="黑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黑体"/>
    <w:panose1 w:val="03000509000000000000"/>
    <w:charset w:val="86"/>
    <w:family w:val="script"/>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5C549A"/>
    <w:multiLevelType w:val="singleLevel"/>
    <w:tmpl w:val="495C549A"/>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586A99"/>
    <w:rsid w:val="11301FEB"/>
    <w:rsid w:val="3E0D42B0"/>
    <w:rsid w:val="53AE7C15"/>
    <w:rsid w:val="594F3C5E"/>
    <w:rsid w:val="61310055"/>
    <w:rsid w:val="75586A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2</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2026-09-08T02:11:00Z</dcterms:created>
  <dc:creator>和</dc:creator>
  <cp:lastModifiedBy>和</cp:lastModifiedBy>
  <dcterms:modified xsi:type="dcterms:W3CDTF">2026-09-08T02:19:34Z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27248054D438471BB19404D73571668B_11</vt:lpwstr>
  </property>
  <property fmtid="{D5CDD505-2E9C-101B-9397-08002B2CF9AE}" pid="4" name="KSOTemplateDocerSaveRecord">
    <vt:lpwstr>eyJoZGlkIjoiZDg1MWM2YmRhMzdlOTcyNTk1NTg0MmUxMzI5MjUyZDIiLCJ1c2VySWQiOiIxMjA5NzE1OTc1In0=</vt:lpwstr>
  </property>
</Properties>
</file>