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方正小标宋简体" w:eastAsia="方正小标宋简体"/>
          <w:snapToGrid w:val="0"/>
          <w:kern w:val="0"/>
          <w:sz w:val="44"/>
          <w:szCs w:val="44"/>
        </w:rPr>
      </w:pP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202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年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  <w:lang w:val="en-US" w:eastAsia="zh-CN"/>
        </w:rPr>
        <w:t>6</w:t>
      </w:r>
      <w:r>
        <w:rPr>
          <w:rFonts w:hint="eastAsia" w:ascii="方正小标宋简体" w:eastAsia="方正小标宋简体"/>
          <w:snapToGrid w:val="0"/>
          <w:kern w:val="0"/>
          <w:sz w:val="44"/>
          <w:szCs w:val="44"/>
        </w:rPr>
        <w:t>月份威海市财政收支运行情况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159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亿元，增长3.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%。其中，税收收入完成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9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6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亿元，增长3.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月份主要财政收入科目情况如</w:t>
      </w:r>
      <w:bookmarkStart w:id="0" w:name="_GoBack"/>
      <w:bookmarkEnd w:id="0"/>
      <w:r>
        <w:rPr>
          <w:rFonts w:hint="eastAsia" w:ascii="仿宋_GB2312" w:eastAsia="仿宋_GB2312"/>
          <w:snapToGrid w:val="0"/>
          <w:kern w:val="0"/>
          <w:sz w:val="32"/>
          <w:szCs w:val="32"/>
        </w:rPr>
        <w:t>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39.8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7.7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14.7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17.5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4、房产税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10.5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5、城镇土地使用税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6、契税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.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 xml:space="preserve">二、一般公共预算支出情况 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月份，全市一般公共预算支出完成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274.2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23.4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月份主要财政支出科目情况如下：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49.4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18.3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18.6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0.6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3.2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4、社会保障和就业支出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37.5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6.4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p>
      <w:pPr>
        <w:spacing w:line="600" w:lineRule="exact"/>
        <w:rPr>
          <w:rFonts w:ascii="仿宋_GB2312" w:eastAsia="仿宋_GB2312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5、一般公共服务支出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亿元，增长</w:t>
      </w:r>
      <w:r>
        <w:rPr>
          <w:rFonts w:hint="eastAsia" w:ascii="仿宋_GB2312" w:eastAsia="仿宋_GB2312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napToGrid w:val="0"/>
          <w:kern w:val="0"/>
          <w:sz w:val="32"/>
          <w:szCs w:val="32"/>
        </w:rPr>
        <w:t>%。</w:t>
      </w:r>
    </w:p>
    <w:sectPr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6EBB2898"/>
    <w:rsid w:val="000335FE"/>
    <w:rsid w:val="00060A7F"/>
    <w:rsid w:val="000B5B0D"/>
    <w:rsid w:val="001D6183"/>
    <w:rsid w:val="002B22D9"/>
    <w:rsid w:val="002E7AFA"/>
    <w:rsid w:val="003575E1"/>
    <w:rsid w:val="00416C58"/>
    <w:rsid w:val="004D2371"/>
    <w:rsid w:val="0089616C"/>
    <w:rsid w:val="008B0FA9"/>
    <w:rsid w:val="00946DA9"/>
    <w:rsid w:val="00A34230"/>
    <w:rsid w:val="00A44F0D"/>
    <w:rsid w:val="00B859A2"/>
    <w:rsid w:val="00BA5262"/>
    <w:rsid w:val="00D93099"/>
    <w:rsid w:val="108749B1"/>
    <w:rsid w:val="133935D7"/>
    <w:rsid w:val="1955661F"/>
    <w:rsid w:val="250C705F"/>
    <w:rsid w:val="28632672"/>
    <w:rsid w:val="295F4335"/>
    <w:rsid w:val="2C1A5B83"/>
    <w:rsid w:val="3D594BA8"/>
    <w:rsid w:val="3FA44368"/>
    <w:rsid w:val="3FAA158E"/>
    <w:rsid w:val="57CA2177"/>
    <w:rsid w:val="6EBB2898"/>
    <w:rsid w:val="715D4AB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4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71</Words>
  <Characters>409</Characters>
  <Lines>3</Lines>
  <Paragraphs>1</Paragraphs>
  <TotalTime>76</TotalTime>
  <ScaleCrop>false</ScaleCrop>
  <LinksUpToDate>false</LinksUpToDate>
  <CharactersWithSpaces>479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Administrator</cp:lastModifiedBy>
  <dcterms:modified xsi:type="dcterms:W3CDTF">2025-07-17T09:55:36Z</dcterms:modified>
  <dc:title>2022年11月份全省财政收支运行情况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