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shd w:val="clear" w:color="auto" w:fill="auto"/>
        <w:kinsoku/>
        <w:wordWrap/>
        <w:overflowPunct/>
        <w:topLinePunct w:val="0"/>
        <w:autoSpaceDE/>
        <w:autoSpaceDN/>
        <w:bidi w:val="0"/>
        <w:adjustRightInd w:val="0"/>
        <w:snapToGrid w:val="0"/>
        <w:spacing w:line="600" w:lineRule="exact"/>
        <w:jc w:val="both"/>
        <w:textAlignment w:val="auto"/>
        <w:rPr>
          <w:rFonts w:hint="default" w:ascii="Times New Roman" w:hAnsi="Times New Roman" w:eastAsia="方正小标宋简体" w:cs="Times New Roman"/>
          <w:color w:val="auto"/>
          <w:kern w:val="0"/>
          <w:sz w:val="24"/>
          <w:szCs w:val="30"/>
          <w:highlight w:val="none"/>
          <w:lang w:val="en-US" w:eastAsia="zh-CN" w:bidi="ar-SA"/>
        </w:rPr>
      </w:pPr>
    </w:p>
    <w:p>
      <w:pPr>
        <w:keepNext w:val="0"/>
        <w:keepLines w:val="0"/>
        <w:pageBreakBefore w:val="0"/>
        <w:widowControl w:val="0"/>
        <w:kinsoku/>
        <w:wordWrap/>
        <w:overflowPunct/>
        <w:topLinePunct w:val="0"/>
        <w:autoSpaceDE/>
        <w:autoSpaceDN/>
        <w:bidi w:val="0"/>
        <w:adjustRightInd/>
        <w:snapToGrid/>
        <w:spacing w:beforeLines="0" w:afterLines="0" w:line="600" w:lineRule="exact"/>
        <w:jc w:val="center"/>
        <w:textAlignment w:val="auto"/>
        <w:rPr>
          <w:rFonts w:hint="eastAsia" w:ascii="方正小标宋简体" w:hAnsi="方正小标宋简体" w:eastAsia="方正小标宋简体" w:cs="方正小标宋简体"/>
          <w:sz w:val="44"/>
          <w:szCs w:val="44"/>
          <w:lang w:val="en-US" w:eastAsia="zh-CN"/>
        </w:rPr>
      </w:pPr>
      <w:r>
        <w:rPr>
          <w:rFonts w:hint="eastAsia" w:ascii="方正小标宋简体" w:hAnsi="方正小标宋简体" w:eastAsia="方正小标宋简体" w:cs="方正小标宋简体"/>
          <w:sz w:val="44"/>
          <w:szCs w:val="44"/>
          <w:lang w:val="en-US" w:eastAsia="zh-CN"/>
        </w:rPr>
        <w:t>关于修订《威海市市直机关会议费管理办法》</w:t>
      </w:r>
    </w:p>
    <w:p>
      <w:pPr>
        <w:keepNext w:val="0"/>
        <w:keepLines w:val="0"/>
        <w:pageBreakBefore w:val="0"/>
        <w:widowControl w:val="0"/>
        <w:kinsoku/>
        <w:wordWrap/>
        <w:overflowPunct/>
        <w:topLinePunct w:val="0"/>
        <w:autoSpaceDE/>
        <w:autoSpaceDN/>
        <w:bidi w:val="0"/>
        <w:adjustRightInd/>
        <w:snapToGrid/>
        <w:spacing w:beforeLines="0" w:afterLines="0" w:line="600" w:lineRule="exact"/>
        <w:jc w:val="center"/>
        <w:textAlignment w:val="auto"/>
        <w:rPr>
          <w:rFonts w:hint="eastAsia" w:ascii="方正小标宋简体" w:hAnsi="方正小标宋简体" w:eastAsia="方正小标宋简体" w:cs="方正小标宋简体"/>
          <w:sz w:val="44"/>
          <w:szCs w:val="44"/>
          <w:lang w:val="en-US" w:eastAsia="zh-CN"/>
        </w:rPr>
      </w:pPr>
      <w:r>
        <w:rPr>
          <w:rFonts w:hint="eastAsia" w:ascii="方正小标宋简体" w:hAnsi="方正小标宋简体" w:eastAsia="方正小标宋简体" w:cs="方正小标宋简体"/>
          <w:sz w:val="44"/>
          <w:szCs w:val="44"/>
          <w:lang w:val="en-US" w:eastAsia="zh-CN"/>
        </w:rPr>
        <w:t>的起草说明</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0" w:firstLineChars="200"/>
        <w:jc w:val="both"/>
        <w:textAlignment w:val="auto"/>
        <w:rPr>
          <w:rFonts w:hint="eastAsia" w:ascii="黑体" w:hAnsi="黑体" w:eastAsia="黑体" w:cs="黑体"/>
          <w:sz w:val="32"/>
          <w:szCs w:val="32"/>
          <w:lang w:eastAsia="zh-CN"/>
        </w:rPr>
      </w:pP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0" w:firstLineChars="200"/>
        <w:jc w:val="both"/>
        <w:textAlignment w:val="auto"/>
        <w:rPr>
          <w:rFonts w:hint="eastAsia" w:ascii="仿宋_GB2312" w:hAnsi="仿宋_GB2312" w:eastAsia="仿宋_GB2312" w:cs="仿宋_GB2312"/>
          <w:sz w:val="32"/>
          <w:szCs w:val="32"/>
          <w:lang w:val="en-US" w:eastAsia="zh-CN"/>
        </w:rPr>
      </w:pP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0" w:firstLineChars="200"/>
        <w:jc w:val="both"/>
        <w:textAlignment w:val="auto"/>
        <w:rPr>
          <w:rFonts w:hint="eastAsia" w:ascii="Times New Roman" w:hAnsi="Times New Roman" w:eastAsia="仿宋_GB2312" w:cs="仿宋_GB2312"/>
          <w:kern w:val="0"/>
          <w:sz w:val="32"/>
          <w:szCs w:val="32"/>
          <w:highlight w:val="none"/>
          <w:lang w:val="en-US" w:eastAsia="zh-CN" w:bidi="ar-SA"/>
        </w:rPr>
      </w:pPr>
      <w:r>
        <w:rPr>
          <w:rFonts w:hint="eastAsia" w:ascii="仿宋_GB2312" w:hAnsi="仿宋_GB2312" w:eastAsia="仿宋_GB2312" w:cs="仿宋_GB2312"/>
          <w:sz w:val="32"/>
          <w:szCs w:val="32"/>
          <w:lang w:val="en-US" w:eastAsia="zh-CN"/>
        </w:rPr>
        <w:t>为深入落实党政机关习惯过紧日子有关要求，进一步规范和加强经费管理，</w:t>
      </w:r>
      <w:r>
        <w:rPr>
          <w:rFonts w:hint="eastAsia" w:ascii="Times New Roman" w:hAnsi="Times New Roman" w:eastAsia="仿宋_GB2312" w:cs="仿宋_GB2312"/>
          <w:kern w:val="0"/>
          <w:sz w:val="32"/>
          <w:szCs w:val="32"/>
          <w:highlight w:val="none"/>
          <w:lang w:val="en-US" w:eastAsia="zh-CN" w:bidi="ar-SA"/>
        </w:rPr>
        <w:t>根据《党政机关厉行节约反对浪费条例》及有关规定，参照《山东省省直机关会议费管理办法》（鲁财行〔2025〕9号），结合威海市实际，我局牵头对《威海市市直机关会议费管理办法》（威办发</w:t>
      </w:r>
      <w:bookmarkStart w:id="0" w:name="_GoBack"/>
      <w:bookmarkEnd w:id="0"/>
      <w:r>
        <w:rPr>
          <w:rFonts w:hint="eastAsia" w:ascii="Times New Roman" w:hAnsi="Times New Roman" w:eastAsia="仿宋_GB2312" w:cs="仿宋_GB2312"/>
          <w:kern w:val="0"/>
          <w:sz w:val="32"/>
          <w:szCs w:val="32"/>
          <w:highlight w:val="none"/>
          <w:lang w:val="en-US" w:eastAsia="zh-CN" w:bidi="ar-SA"/>
        </w:rPr>
        <w:t>〔2014〕11号）（以下简称《原办法》）进行了修订。有关情况说明如下：</w:t>
      </w:r>
    </w:p>
    <w:p>
      <w:pPr>
        <w:keepNext w:val="0"/>
        <w:keepLines w:val="0"/>
        <w:pageBreakBefore w:val="0"/>
        <w:widowControl w:val="0"/>
        <w:kinsoku/>
        <w:wordWrap/>
        <w:overflowPunct/>
        <w:topLinePunct w:val="0"/>
        <w:autoSpaceDE/>
        <w:autoSpaceDN/>
        <w:bidi w:val="0"/>
        <w:adjustRightInd/>
        <w:snapToGrid/>
        <w:spacing w:beforeLines="0" w:afterLines="0" w:line="600" w:lineRule="exact"/>
        <w:ind w:firstLine="640"/>
        <w:jc w:val="both"/>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一、修订背景</w:t>
      </w:r>
    </w:p>
    <w:p>
      <w:pPr>
        <w:keepNext w:val="0"/>
        <w:keepLines w:val="0"/>
        <w:pageBreakBefore w:val="0"/>
        <w:kinsoku/>
        <w:wordWrap/>
        <w:overflowPunct/>
        <w:topLinePunct w:val="0"/>
        <w:autoSpaceDE/>
        <w:autoSpaceDN/>
        <w:bidi w:val="0"/>
        <w:adjustRightInd w:val="0"/>
        <w:snapToGrid w:val="0"/>
        <w:spacing w:beforeLines="0" w:afterLines="0" w:line="600" w:lineRule="exact"/>
        <w:ind w:firstLine="640" w:firstLineChars="200"/>
        <w:textAlignment w:val="auto"/>
        <w:rPr>
          <w:rFonts w:hint="eastAsia" w:ascii="仿宋_GB2312" w:hAnsi="仿宋_GB2312" w:eastAsia="仿宋_GB2312" w:cs="仿宋_GB2312"/>
          <w:sz w:val="32"/>
          <w:szCs w:val="32"/>
          <w:highlight w:val="none"/>
          <w:lang w:val="en-US" w:eastAsia="zh-CN"/>
        </w:rPr>
      </w:pPr>
      <w:r>
        <w:rPr>
          <w:rFonts w:hint="eastAsia" w:ascii="Times New Roman" w:hAnsi="Times New Roman" w:eastAsia="仿宋_GB2312" w:cs="仿宋_GB2312"/>
          <w:kern w:val="0"/>
          <w:sz w:val="32"/>
          <w:szCs w:val="32"/>
          <w:highlight w:val="none"/>
          <w:lang w:val="en-US" w:eastAsia="zh-CN" w:bidi="ar-SA"/>
        </w:rPr>
        <w:t>《原办法》实施以来，在规范市直机关会议费管理，提高会议效率和质量，节约会议经费开支等方面发挥了重要作用。</w:t>
      </w:r>
      <w:r>
        <w:rPr>
          <w:rFonts w:hint="eastAsia" w:ascii="仿宋_GB2312" w:hAnsi="仿宋_GB2312" w:eastAsia="仿宋_GB2312" w:cs="仿宋_GB2312"/>
          <w:sz w:val="32"/>
          <w:szCs w:val="32"/>
          <w:highlight w:val="none"/>
          <w:lang w:val="en-US" w:eastAsia="zh-CN"/>
        </w:rPr>
        <w:t>随着中央要求和形势变化，其实施面临一些新情况：</w:t>
      </w:r>
      <w:r>
        <w:rPr>
          <w:rFonts w:hint="eastAsia" w:ascii="仿宋_GB2312" w:hAnsi="仿宋_GB2312" w:eastAsia="仿宋_GB2312" w:cs="仿宋_GB2312"/>
          <w:b/>
          <w:bCs/>
          <w:sz w:val="32"/>
          <w:szCs w:val="32"/>
          <w:highlight w:val="none"/>
          <w:lang w:val="en-US" w:eastAsia="zh-CN"/>
        </w:rPr>
        <w:t>一</w:t>
      </w:r>
      <w:r>
        <w:rPr>
          <w:rFonts w:hint="eastAsia" w:ascii="仿宋_GB2312" w:hAnsi="仿宋_GB2312" w:eastAsia="仿宋_GB2312" w:cs="仿宋_GB2312"/>
          <w:b/>
          <w:bCs/>
          <w:sz w:val="32"/>
          <w:szCs w:val="32"/>
          <w:lang w:val="en-US" w:eastAsia="zh-CN"/>
        </w:rPr>
        <w:t>是</w:t>
      </w:r>
      <w:r>
        <w:rPr>
          <w:rFonts w:hint="eastAsia" w:ascii="仿宋_GB2312" w:hAnsi="仿宋_GB2312" w:eastAsia="仿宋_GB2312" w:cs="仿宋_GB2312"/>
          <w:b w:val="0"/>
          <w:bCs w:val="0"/>
          <w:sz w:val="32"/>
          <w:szCs w:val="32"/>
          <w:lang w:val="en-US" w:eastAsia="zh-CN"/>
        </w:rPr>
        <w:t>中</w:t>
      </w:r>
      <w:r>
        <w:rPr>
          <w:rFonts w:hint="eastAsia" w:ascii="Times New Roman" w:hAnsi="Times New Roman" w:eastAsia="仿宋_GB2312" w:cs="仿宋_GB2312"/>
          <w:kern w:val="0"/>
          <w:sz w:val="32"/>
          <w:szCs w:val="32"/>
          <w:highlight w:val="none"/>
          <w:lang w:val="en-US" w:eastAsia="zh-CN" w:bidi="ar-SA"/>
        </w:rPr>
        <w:t>办、国办印发《整治形式主义为基层减负若干规定》（中办发〔2024〕56号），财政部、省财政厅陆续印发了《关于中央和国家机关会议费管理办法的补充通知》（财行〔2023〕86号）、《山东省省直机关会议费管理办法》（鲁财行〔2025〕9号）</w:t>
      </w:r>
      <w:r>
        <w:rPr>
          <w:rFonts w:hint="eastAsia" w:ascii="仿宋_GB2312" w:hAnsi="仿宋_GB2312" w:eastAsia="仿宋_GB2312" w:cs="仿宋_GB2312"/>
          <w:sz w:val="32"/>
          <w:szCs w:val="32"/>
          <w:highlight w:val="none"/>
          <w:lang w:val="en-US" w:eastAsia="zh-CN"/>
        </w:rPr>
        <w:t>，对于严控会议数量、控制规模规格、提升质量效率等提出新的要求。</w:t>
      </w:r>
      <w:r>
        <w:rPr>
          <w:rFonts w:hint="eastAsia" w:ascii="仿宋_GB2312" w:hAnsi="仿宋_GB2312" w:eastAsia="仿宋_GB2312" w:cs="仿宋_GB2312"/>
          <w:b/>
          <w:bCs/>
          <w:sz w:val="32"/>
          <w:szCs w:val="32"/>
          <w:lang w:val="en-US" w:eastAsia="zh-CN"/>
        </w:rPr>
        <w:t>二是</w:t>
      </w:r>
      <w:r>
        <w:rPr>
          <w:rFonts w:hint="eastAsia" w:ascii="仿宋_GB2312" w:hAnsi="仿宋_GB2312" w:eastAsia="仿宋_GB2312" w:cs="仿宋_GB2312"/>
          <w:sz w:val="32"/>
          <w:szCs w:val="32"/>
          <w:lang w:val="en-US" w:eastAsia="zh-CN"/>
        </w:rPr>
        <w:t>线上会议日渐普遍，但《原办法》未对线上会议的范围、标准等进行明确。</w:t>
      </w:r>
      <w:r>
        <w:rPr>
          <w:rFonts w:hint="eastAsia" w:ascii="仿宋_GB2312" w:hAnsi="仿宋_GB2312" w:eastAsia="仿宋_GB2312" w:cs="仿宋_GB2312"/>
          <w:sz w:val="32"/>
          <w:szCs w:val="32"/>
          <w:highlight w:val="none"/>
          <w:lang w:val="en-US" w:eastAsia="zh-CN"/>
        </w:rPr>
        <w:t>针对上述情况，我局牵头对《原办法》内容进行了修订</w:t>
      </w:r>
      <w:r>
        <w:rPr>
          <w:rFonts w:hint="eastAsia" w:ascii="仿宋_GB2312" w:hAnsi="仿宋_GB2312" w:eastAsia="仿宋_GB2312" w:cs="仿宋_GB2312"/>
          <w:sz w:val="32"/>
          <w:szCs w:val="32"/>
          <w:lang w:val="en-US" w:eastAsia="zh-CN"/>
        </w:rPr>
        <w:t>。</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0" w:firstLineChars="200"/>
        <w:jc w:val="both"/>
        <w:textAlignment w:val="auto"/>
        <w:rPr>
          <w:rFonts w:hint="eastAsia" w:ascii="Times New Roman" w:hAnsi="Times New Roman" w:eastAsia="黑体" w:cs="黑体"/>
          <w:sz w:val="32"/>
          <w:szCs w:val="32"/>
          <w:highlight w:val="none"/>
          <w:lang w:val="en-US" w:eastAsia="zh-CN"/>
        </w:rPr>
      </w:pPr>
      <w:r>
        <w:rPr>
          <w:rFonts w:hint="eastAsia" w:ascii="Times New Roman" w:hAnsi="Times New Roman" w:eastAsia="黑体" w:cs="黑体"/>
          <w:sz w:val="32"/>
          <w:szCs w:val="32"/>
          <w:highlight w:val="none"/>
          <w:lang w:val="en-US" w:eastAsia="zh-CN"/>
        </w:rPr>
        <w:t>二、修订内容</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jc w:val="both"/>
        <w:textAlignment w:val="auto"/>
        <w:rPr>
          <w:rFonts w:hint="eastAsia" w:ascii="Times New Roman" w:hAnsi="Times New Roman" w:eastAsia="仿宋_GB2312"/>
          <w:sz w:val="32"/>
          <w:szCs w:val="32"/>
          <w:highlight w:val="none"/>
          <w:lang w:val="en-US" w:eastAsia="zh-CN"/>
        </w:rPr>
      </w:pPr>
      <w:r>
        <w:rPr>
          <w:rFonts w:hint="eastAsia" w:ascii="Times New Roman" w:hAnsi="Times New Roman" w:eastAsia="仿宋_GB2312"/>
          <w:sz w:val="32"/>
          <w:szCs w:val="32"/>
          <w:highlight w:val="none"/>
          <w:lang w:val="en-US" w:eastAsia="zh-CN"/>
        </w:rPr>
        <w:t>修订后的《威海市市直机关会议费管理办法》（以下简称《办法》）共7章29条，较《原办法》新增6条、修改6条、删除2条，主要修订内容如下：</w:t>
      </w:r>
    </w:p>
    <w:p>
      <w:pPr>
        <w:keepNext w:val="0"/>
        <w:keepLines w:val="0"/>
        <w:pageBreakBefore w:val="0"/>
        <w:widowControl/>
        <w:numPr>
          <w:ilvl w:val="0"/>
          <w:numId w:val="1"/>
        </w:numPr>
        <w:kinsoku/>
        <w:wordWrap/>
        <w:overflowPunct/>
        <w:topLinePunct w:val="0"/>
        <w:autoSpaceDE/>
        <w:autoSpaceDN/>
        <w:bidi w:val="0"/>
        <w:adjustRightInd/>
        <w:snapToGrid/>
        <w:spacing w:beforeLines="0" w:afterLines="0" w:line="60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楷体_GB2312" w:hAnsi="楷体_GB2312" w:eastAsia="楷体_GB2312" w:cs="楷体_GB2312"/>
          <w:sz w:val="32"/>
          <w:szCs w:val="32"/>
          <w:lang w:val="en-US" w:eastAsia="zh-CN"/>
        </w:rPr>
        <w:t>完善会议分类。</w:t>
      </w:r>
      <w:r>
        <w:rPr>
          <w:rFonts w:hint="eastAsia" w:ascii="仿宋_GB2312" w:hAnsi="仿宋_GB2312" w:eastAsia="仿宋_GB2312" w:cs="仿宋_GB2312"/>
          <w:sz w:val="32"/>
          <w:szCs w:val="32"/>
          <w:lang w:val="en-US" w:eastAsia="zh-CN"/>
        </w:rPr>
        <w:t>在保持三类会议框架不变的前提下，</w:t>
      </w:r>
      <w:r>
        <w:rPr>
          <w:rFonts w:hint="eastAsia" w:ascii="仿宋_GB2312" w:hAnsi="仿宋_GB2312" w:eastAsia="仿宋_GB2312" w:cs="仿宋_GB2312"/>
          <w:b/>
          <w:bCs/>
          <w:sz w:val="32"/>
          <w:szCs w:val="32"/>
          <w:lang w:val="en-US" w:eastAsia="zh-CN"/>
        </w:rPr>
        <w:t>一是扩大二类会议范围。</w:t>
      </w:r>
      <w:r>
        <w:rPr>
          <w:rFonts w:hint="eastAsia" w:ascii="仿宋_GB2312" w:hAnsi="仿宋_GB2312" w:eastAsia="仿宋_GB2312" w:cs="仿宋_GB2312"/>
          <w:sz w:val="32"/>
          <w:szCs w:val="32"/>
          <w:lang w:val="en-US" w:eastAsia="zh-CN"/>
        </w:rPr>
        <w:t>将“以市委、市政府名义召开的市直部门负责同志参加的、除一类会议之外的全市性重要工作会议”，纳入“二类会议”管理。</w:t>
      </w:r>
      <w:r>
        <w:rPr>
          <w:rFonts w:hint="eastAsia" w:ascii="仿宋_GB2312" w:hAnsi="仿宋_GB2312" w:eastAsia="仿宋_GB2312" w:cs="仿宋_GB2312"/>
          <w:b/>
          <w:bCs/>
          <w:sz w:val="32"/>
          <w:szCs w:val="32"/>
          <w:lang w:val="en-US" w:eastAsia="zh-CN"/>
        </w:rPr>
        <w:t>二是细化三类会议管理。</w:t>
      </w:r>
      <w:r>
        <w:rPr>
          <w:rFonts w:hint="eastAsia" w:ascii="仿宋_GB2312" w:hAnsi="仿宋_GB2312" w:eastAsia="仿宋_GB2312" w:cs="仿宋_GB2312"/>
          <w:sz w:val="32"/>
          <w:szCs w:val="32"/>
          <w:lang w:val="en-US" w:eastAsia="zh-CN"/>
        </w:rPr>
        <w:t>将“三类会议”范围由“各单位召开的综合性工作会议”，</w:t>
      </w:r>
      <w:r>
        <w:rPr>
          <w:rFonts w:hint="eastAsia" w:ascii="仿宋_GB2312" w:hAnsi="仿宋_GB2312" w:eastAsia="仿宋_GB2312" w:cs="仿宋_GB2312"/>
          <w:b w:val="0"/>
          <w:bCs w:val="0"/>
          <w:sz w:val="32"/>
          <w:szCs w:val="32"/>
          <w:lang w:val="en-US" w:eastAsia="zh-CN"/>
        </w:rPr>
        <w:t>修改为</w:t>
      </w:r>
      <w:r>
        <w:rPr>
          <w:rFonts w:hint="eastAsia" w:ascii="仿宋_GB2312" w:hAnsi="仿宋_GB2312" w:eastAsia="仿宋_GB2312" w:cs="仿宋_GB2312"/>
          <w:sz w:val="32"/>
          <w:szCs w:val="32"/>
          <w:lang w:val="en-US" w:eastAsia="zh-CN"/>
        </w:rPr>
        <w:t>“除一、二类会议以外的其他会议”，并明确“以会议形式组织、履行会议审批程序的小型研讨会、座谈会、评审会等纳入三类会议管理”。</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0" w:firstLineChars="200"/>
        <w:jc w:val="both"/>
        <w:textAlignment w:val="auto"/>
        <w:rPr>
          <w:rFonts w:hint="default"/>
          <w:lang w:val="en-US" w:eastAsia="zh-CN"/>
        </w:rPr>
      </w:pPr>
      <w:r>
        <w:rPr>
          <w:rFonts w:hint="eastAsia" w:ascii="楷体_GB2312" w:hAnsi="楷体_GB2312" w:eastAsia="楷体_GB2312" w:cs="楷体_GB2312"/>
          <w:sz w:val="32"/>
          <w:szCs w:val="32"/>
          <w:lang w:val="en-US" w:eastAsia="zh-CN"/>
        </w:rPr>
        <w:t>（二）强化源头管控。</w:t>
      </w:r>
      <w:r>
        <w:rPr>
          <w:rFonts w:hint="eastAsia" w:ascii="仿宋_GB2312" w:hAnsi="仿宋_GB2312" w:eastAsia="仿宋_GB2312" w:cs="仿宋_GB2312"/>
          <w:b/>
          <w:bCs/>
          <w:sz w:val="32"/>
          <w:szCs w:val="32"/>
          <w:lang w:val="en-US" w:eastAsia="zh-CN"/>
        </w:rPr>
        <w:t>一是新增</w:t>
      </w:r>
      <w:r>
        <w:rPr>
          <w:rFonts w:hint="eastAsia" w:ascii="仿宋_GB2312" w:hAnsi="仿宋_GB2312" w:eastAsia="仿宋_GB2312" w:cs="仿宋_GB2312"/>
          <w:b w:val="0"/>
          <w:bCs w:val="0"/>
          <w:sz w:val="32"/>
          <w:szCs w:val="32"/>
          <w:lang w:val="en-US" w:eastAsia="zh-CN"/>
        </w:rPr>
        <w:t>“</w:t>
      </w:r>
      <w:r>
        <w:rPr>
          <w:rFonts w:hint="eastAsia" w:ascii="仿宋_GB2312" w:hAnsi="仿宋_GB2312" w:eastAsia="仿宋_GB2312" w:cs="仿宋_GB2312"/>
          <w:b/>
          <w:bCs/>
          <w:sz w:val="32"/>
          <w:szCs w:val="32"/>
          <w:lang w:val="en-US" w:eastAsia="zh-CN"/>
        </w:rPr>
        <w:t>会议计划管理”有关内容。</w:t>
      </w:r>
      <w:r>
        <w:rPr>
          <w:rFonts w:hint="eastAsia" w:ascii="仿宋_GB2312" w:hAnsi="仿宋_GB2312" w:eastAsia="仿宋_GB2312" w:cs="仿宋_GB2312"/>
          <w:sz w:val="32"/>
          <w:szCs w:val="32"/>
          <w:lang w:val="en-US" w:eastAsia="zh-CN"/>
        </w:rPr>
        <w:t>明确二类会议由市委办公室、市政府办公室按归口实行计划管理；各单位召开的一、三类会议应编制年度会议计划，履行内部审批程序。</w:t>
      </w:r>
      <w:r>
        <w:rPr>
          <w:rFonts w:hint="eastAsia" w:ascii="仿宋_GB2312" w:hAnsi="仿宋_GB2312" w:eastAsia="仿宋_GB2312" w:cs="仿宋_GB2312"/>
          <w:b/>
          <w:bCs/>
          <w:sz w:val="32"/>
          <w:szCs w:val="32"/>
          <w:lang w:val="en-US" w:eastAsia="zh-CN"/>
        </w:rPr>
        <w:t>二是新增“严控会议数量和频次”有关内容。</w:t>
      </w:r>
      <w:r>
        <w:rPr>
          <w:rFonts w:hint="eastAsia" w:ascii="仿宋_GB2312" w:hAnsi="仿宋_GB2312" w:eastAsia="仿宋_GB2312" w:cs="仿宋_GB2312"/>
          <w:b w:val="0"/>
          <w:bCs w:val="0"/>
          <w:sz w:val="32"/>
          <w:szCs w:val="32"/>
          <w:lang w:val="en-US" w:eastAsia="zh-CN"/>
        </w:rPr>
        <w:t>主要是根据</w:t>
      </w:r>
      <w:r>
        <w:rPr>
          <w:rFonts w:hint="eastAsia" w:ascii="仿宋_GB2312" w:hAnsi="仿宋_GB2312" w:eastAsia="仿宋_GB2312" w:cs="仿宋_GB2312"/>
          <w:sz w:val="32"/>
          <w:szCs w:val="32"/>
          <w:lang w:val="en-US" w:eastAsia="zh-CN"/>
        </w:rPr>
        <w:t>整治形式主义为基层减负等有关文件规定，明确“非确有必要不召开会议，加强对内容相近、参会人员范围相同会议的统筹，能合并的合并，能精简的精简。已制发文件的工作事项原则上不再专门开会部署。各单位申请以市委、市政府名义召开的二类会议及各单位召开的综合性工作会议原则上每年均不超过1次”。</w:t>
      </w:r>
      <w:r>
        <w:rPr>
          <w:rFonts w:hint="eastAsia" w:ascii="仿宋_GB2312" w:hAnsi="仿宋_GB2312" w:eastAsia="仿宋_GB2312" w:cs="仿宋_GB2312"/>
          <w:b/>
          <w:bCs/>
          <w:sz w:val="32"/>
          <w:szCs w:val="32"/>
          <w:lang w:val="en-US" w:eastAsia="zh-CN"/>
        </w:rPr>
        <w:t>三是新增“合理确定会议规格”有关内容。</w:t>
      </w:r>
      <w:r>
        <w:rPr>
          <w:rFonts w:hint="eastAsia" w:ascii="仿宋_GB2312" w:hAnsi="仿宋_GB2312" w:eastAsia="仿宋_GB2312" w:cs="仿宋_GB2312"/>
          <w:b w:val="0"/>
          <w:bCs w:val="0"/>
          <w:sz w:val="32"/>
          <w:szCs w:val="32"/>
          <w:lang w:val="en-US" w:eastAsia="zh-CN"/>
        </w:rPr>
        <w:t>明确“未经市委主要领导同志批准，不得随意召开直达基层的会议。市直部门工作会议一般不安排镇街以下单位参会。由分管负责同志召集部署的会议，一般不要求下级主要负责同志参会。以部门名义召开的会议，未经市委批准，不得要求区市党委和政府负责同志参会”。</w:t>
      </w:r>
      <w:r>
        <w:rPr>
          <w:rFonts w:hint="eastAsia" w:ascii="仿宋_GB2312" w:hAnsi="仿宋_GB2312" w:eastAsia="仿宋_GB2312" w:cs="仿宋_GB2312"/>
          <w:b/>
          <w:bCs/>
          <w:sz w:val="32"/>
          <w:szCs w:val="32"/>
          <w:lang w:val="en-US" w:eastAsia="zh-CN"/>
        </w:rPr>
        <w:t>四</w:t>
      </w:r>
      <w:r>
        <w:rPr>
          <w:rFonts w:hint="eastAsia" w:ascii="仿宋_GB2312" w:hAnsi="仿宋_GB2312" w:eastAsia="仿宋_GB2312" w:cs="仿宋_GB2312"/>
          <w:b/>
          <w:bCs/>
          <w:sz w:val="32"/>
          <w:szCs w:val="32"/>
          <w:highlight w:val="none"/>
          <w:lang w:val="en-US" w:eastAsia="zh-CN"/>
        </w:rPr>
        <w:t>是调整“会议天数”有关内容。</w:t>
      </w:r>
      <w:r>
        <w:rPr>
          <w:rFonts w:hint="eastAsia" w:ascii="Times New Roman" w:hAnsi="Times New Roman" w:eastAsia="仿宋_GB2312"/>
          <w:b w:val="0"/>
          <w:bCs w:val="0"/>
          <w:sz w:val="32"/>
          <w:szCs w:val="32"/>
          <w:highlight w:val="none"/>
          <w:lang w:val="en-US" w:eastAsia="zh-CN"/>
        </w:rPr>
        <w:t>大力压缩会议会期</w:t>
      </w:r>
      <w:r>
        <w:rPr>
          <w:rFonts w:hint="eastAsia" w:ascii="仿宋_GB2312" w:hAnsi="仿宋_GB2312" w:eastAsia="仿宋_GB2312" w:cs="仿宋_GB2312"/>
          <w:b w:val="0"/>
          <w:bCs w:val="0"/>
          <w:sz w:val="32"/>
          <w:szCs w:val="32"/>
          <w:highlight w:val="none"/>
          <w:lang w:val="en-US" w:eastAsia="zh-CN"/>
        </w:rPr>
        <w:t>，将《原办法》中</w:t>
      </w:r>
      <w:r>
        <w:rPr>
          <w:rFonts w:hint="eastAsia" w:ascii="Times New Roman" w:hAnsi="Times New Roman" w:eastAsia="仿宋_GB2312"/>
          <w:b w:val="0"/>
          <w:bCs w:val="0"/>
          <w:sz w:val="32"/>
          <w:szCs w:val="32"/>
          <w:highlight w:val="none"/>
          <w:lang w:val="en-US" w:eastAsia="zh-CN"/>
        </w:rPr>
        <w:t>二类、三类会议会期由原来不超过1天缩短为半天，有分组讨论等特殊情况不超过1天。</w:t>
      </w:r>
    </w:p>
    <w:p>
      <w:pPr>
        <w:keepNext w:val="0"/>
        <w:keepLines w:val="0"/>
        <w:pageBreakBefore w:val="0"/>
        <w:widowControl/>
        <w:kinsoku/>
        <w:wordWrap/>
        <w:overflowPunct/>
        <w:topLinePunct w:val="0"/>
        <w:autoSpaceDE/>
        <w:autoSpaceDN/>
        <w:bidi w:val="0"/>
        <w:spacing w:line="600" w:lineRule="exact"/>
        <w:ind w:firstLine="640" w:firstLineChars="200"/>
        <w:textAlignment w:val="auto"/>
        <w:rPr>
          <w:rFonts w:hint="eastAsia" w:eastAsia="仿宋_GB2312"/>
          <w:bCs/>
          <w:sz w:val="32"/>
          <w:szCs w:val="20"/>
        </w:rPr>
      </w:pPr>
      <w:r>
        <w:rPr>
          <w:rFonts w:hint="eastAsia" w:ascii="楷体_GB2312" w:hAnsi="楷体_GB2312" w:eastAsia="楷体_GB2312" w:cs="楷体_GB2312"/>
          <w:sz w:val="32"/>
          <w:szCs w:val="32"/>
          <w:lang w:val="en-US" w:eastAsia="zh-CN"/>
        </w:rPr>
        <w:t>（三）规范线上会议。</w:t>
      </w:r>
      <w:r>
        <w:rPr>
          <w:rFonts w:hint="eastAsia" w:ascii="仿宋_GB2312" w:hAnsi="仿宋_GB2312" w:eastAsia="仿宋_GB2312" w:cs="仿宋_GB2312"/>
          <w:sz w:val="32"/>
          <w:szCs w:val="32"/>
          <w:lang w:val="en-US" w:eastAsia="zh-CN"/>
        </w:rPr>
        <w:t>对线上会议的适用情形、开支范围、核算列支等予以明确。</w:t>
      </w:r>
      <w:r>
        <w:rPr>
          <w:rFonts w:hint="eastAsia" w:ascii="仿宋_GB2312" w:hAnsi="仿宋_GB2312" w:eastAsia="仿宋_GB2312" w:cs="仿宋_GB2312"/>
          <w:b/>
          <w:bCs/>
          <w:sz w:val="32"/>
          <w:szCs w:val="32"/>
          <w:lang w:val="en-US" w:eastAsia="zh-CN"/>
        </w:rPr>
        <w:t>一是</w:t>
      </w:r>
      <w:r>
        <w:rPr>
          <w:rFonts w:hint="eastAsia" w:eastAsia="仿宋_GB2312"/>
          <w:b/>
          <w:bCs/>
          <w:sz w:val="32"/>
          <w:szCs w:val="20"/>
        </w:rPr>
        <w:t>增加“线上会议”形式</w:t>
      </w:r>
      <w:r>
        <w:rPr>
          <w:rFonts w:hint="eastAsia" w:eastAsia="仿宋_GB2312"/>
          <w:b/>
          <w:bCs/>
          <w:sz w:val="32"/>
          <w:szCs w:val="20"/>
          <w:lang w:eastAsia="zh-CN"/>
        </w:rPr>
        <w:t>。</w:t>
      </w:r>
      <w:r>
        <w:rPr>
          <w:rFonts w:hint="eastAsia" w:eastAsia="仿宋_GB2312"/>
          <w:bCs/>
          <w:sz w:val="32"/>
          <w:szCs w:val="20"/>
          <w:lang w:eastAsia="zh-CN"/>
        </w:rPr>
        <w:t>新增规定</w:t>
      </w:r>
      <w:r>
        <w:rPr>
          <w:rFonts w:hint="eastAsia" w:eastAsia="仿宋_GB2312"/>
          <w:bCs/>
          <w:sz w:val="32"/>
          <w:szCs w:val="20"/>
        </w:rPr>
        <w:t>“能够通过线上会议形式召开的，原则上</w:t>
      </w:r>
      <w:r>
        <w:rPr>
          <w:rFonts w:hint="eastAsia" w:eastAsia="仿宋_GB2312"/>
          <w:bCs/>
          <w:sz w:val="32"/>
          <w:szCs w:val="20"/>
          <w:lang w:eastAsia="zh-CN"/>
        </w:rPr>
        <w:t>优先</w:t>
      </w:r>
      <w:r>
        <w:rPr>
          <w:rFonts w:hint="eastAsia" w:eastAsia="仿宋_GB2312"/>
          <w:bCs/>
          <w:sz w:val="32"/>
          <w:szCs w:val="20"/>
        </w:rPr>
        <w:t>采取线上会议形式召开”</w:t>
      </w:r>
      <w:r>
        <w:rPr>
          <w:rFonts w:hint="eastAsia" w:eastAsia="仿宋_GB2312"/>
          <w:bCs/>
          <w:sz w:val="32"/>
          <w:szCs w:val="20"/>
          <w:lang w:eastAsia="zh-CN"/>
        </w:rPr>
        <w:t>，</w:t>
      </w:r>
      <w:r>
        <w:rPr>
          <w:rFonts w:hint="eastAsia" w:eastAsia="仿宋_GB2312"/>
          <w:bCs/>
          <w:sz w:val="32"/>
          <w:szCs w:val="20"/>
        </w:rPr>
        <w:t>“线上会议的主会场和分会场参会人数合计原则上不得超过相应会议类别参会人数上限”</w:t>
      </w:r>
      <w:r>
        <w:rPr>
          <w:rFonts w:hint="eastAsia" w:eastAsia="仿宋_GB2312"/>
          <w:bCs/>
          <w:sz w:val="32"/>
          <w:szCs w:val="20"/>
          <w:lang w:eastAsia="zh-CN"/>
        </w:rPr>
        <w:t>。</w:t>
      </w:r>
      <w:r>
        <w:rPr>
          <w:rFonts w:hint="eastAsia" w:eastAsia="仿宋_GB2312"/>
          <w:b/>
          <w:bCs w:val="0"/>
          <w:sz w:val="32"/>
          <w:szCs w:val="20"/>
          <w:lang w:eastAsia="zh-CN"/>
        </w:rPr>
        <w:t>二是</w:t>
      </w:r>
      <w:r>
        <w:rPr>
          <w:rFonts w:hint="eastAsia" w:eastAsia="仿宋_GB2312"/>
          <w:b/>
          <w:bCs w:val="0"/>
          <w:sz w:val="32"/>
          <w:szCs w:val="20"/>
        </w:rPr>
        <w:t>规范线上会议开支范围及标准</w:t>
      </w:r>
      <w:r>
        <w:rPr>
          <w:rFonts w:hint="eastAsia" w:eastAsia="仿宋_GB2312"/>
          <w:b/>
          <w:bCs w:val="0"/>
          <w:sz w:val="32"/>
          <w:szCs w:val="20"/>
          <w:lang w:eastAsia="zh-CN"/>
        </w:rPr>
        <w:t>。</w:t>
      </w:r>
      <w:r>
        <w:rPr>
          <w:rFonts w:hint="eastAsia" w:eastAsia="仿宋_GB2312"/>
          <w:bCs/>
          <w:sz w:val="32"/>
          <w:szCs w:val="20"/>
          <w:lang w:eastAsia="zh-CN"/>
        </w:rPr>
        <w:t>明确规定</w:t>
      </w:r>
      <w:r>
        <w:rPr>
          <w:rFonts w:hint="eastAsia" w:eastAsia="仿宋_GB2312"/>
          <w:bCs/>
          <w:sz w:val="32"/>
          <w:szCs w:val="20"/>
        </w:rPr>
        <w:t>“在单位内部利用</w:t>
      </w:r>
      <w:r>
        <w:rPr>
          <w:rFonts w:hint="eastAsia" w:eastAsia="仿宋_GB2312"/>
          <w:sz w:val="32"/>
          <w:szCs w:val="20"/>
        </w:rPr>
        <w:t>现有视频会议系统召开的会议，无特殊情况下不产生线上会议费。在单位以外会议场所召开的线上会议，如发生设备租赁费、线路费等线上会议费开支范围内的费用，原则上凭合法票据在单位年度会议费预算内据实列支</w:t>
      </w:r>
      <w:r>
        <w:rPr>
          <w:rFonts w:hint="eastAsia" w:eastAsia="仿宋_GB2312"/>
          <w:bCs/>
          <w:sz w:val="32"/>
          <w:szCs w:val="20"/>
        </w:rPr>
        <w:t>”。</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jc w:val="both"/>
        <w:textAlignment w:val="auto"/>
        <w:rPr>
          <w:rFonts w:hint="eastAsia" w:ascii="Times New Roman" w:hAnsi="Times New Roman" w:eastAsia="仿宋_GB2312"/>
          <w:b w:val="0"/>
          <w:bCs w:val="0"/>
          <w:sz w:val="32"/>
          <w:szCs w:val="32"/>
          <w:highlight w:val="none"/>
          <w:lang w:val="en-US" w:eastAsia="zh-CN"/>
        </w:rPr>
      </w:pPr>
      <w:r>
        <w:rPr>
          <w:rFonts w:hint="eastAsia" w:ascii="楷体_GB2312" w:hAnsi="楷体_GB2312" w:eastAsia="楷体_GB2312" w:cs="楷体_GB2312"/>
          <w:sz w:val="32"/>
          <w:szCs w:val="32"/>
          <w:lang w:val="en-US" w:eastAsia="zh-CN"/>
        </w:rPr>
        <w:t>（四）优化会议费标准。</w:t>
      </w:r>
      <w:r>
        <w:rPr>
          <w:rFonts w:hint="eastAsia" w:ascii="Times New Roman" w:hAnsi="Times New Roman" w:eastAsia="仿宋_GB2312"/>
          <w:b w:val="0"/>
          <w:bCs w:val="0"/>
          <w:sz w:val="32"/>
          <w:szCs w:val="32"/>
          <w:highlight w:val="none"/>
          <w:lang w:val="en-US" w:eastAsia="zh-CN"/>
        </w:rPr>
        <w:t>在保持线下会议费综合定额标准不变的情况下（一类550元、二类450元、三类400），结合实际，将一类、二类会议住宿费标准降低10元（分别由320元、240元下调至310元、230元），其他费用标准（会议室租金、文件印刷费等）提高10元（分别由100元、90元上调至110元、100元）。</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Times New Roman" w:hAnsi="Times New Roman" w:eastAsia="仿宋_GB2312"/>
          <w:b w:val="0"/>
          <w:bCs w:val="0"/>
          <w:sz w:val="32"/>
          <w:szCs w:val="32"/>
          <w:highlight w:val="none"/>
          <w:lang w:val="en-US" w:eastAsia="zh-CN"/>
        </w:rPr>
      </w:pPr>
      <w:r>
        <w:rPr>
          <w:rFonts w:hint="eastAsia" w:ascii="楷体_GB2312" w:hAnsi="楷体_GB2312" w:eastAsia="楷体_GB2312" w:cs="楷体_GB2312"/>
          <w:sz w:val="32"/>
          <w:szCs w:val="32"/>
          <w:lang w:val="en-US" w:eastAsia="zh-CN"/>
        </w:rPr>
        <w:t>（五）坚持从严从简。</w:t>
      </w:r>
      <w:r>
        <w:rPr>
          <w:rFonts w:hint="eastAsia" w:ascii="仿宋_GB2312" w:hAnsi="仿宋_GB2312" w:eastAsia="仿宋_GB2312" w:cs="仿宋_GB2312"/>
          <w:i w:val="0"/>
          <w:iCs w:val="0"/>
          <w:caps w:val="0"/>
          <w:color w:val="auto"/>
          <w:spacing w:val="0"/>
          <w:sz w:val="32"/>
          <w:szCs w:val="32"/>
          <w:shd w:val="clear" w:color="auto" w:fill="FFFFFF"/>
          <w:lang w:val="en-US" w:eastAsia="zh-CN"/>
        </w:rPr>
        <w:t>按照党政机关</w:t>
      </w:r>
      <w:r>
        <w:rPr>
          <w:rFonts w:hint="eastAsia" w:ascii="仿宋_GB2312" w:hAnsi="仿宋_GB2312" w:eastAsia="仿宋_GB2312" w:cs="仿宋_GB2312"/>
          <w:i w:val="0"/>
          <w:iCs w:val="0"/>
          <w:caps w:val="0"/>
          <w:color w:val="auto"/>
          <w:spacing w:val="0"/>
          <w:sz w:val="32"/>
          <w:szCs w:val="32"/>
          <w:shd w:val="clear" w:color="auto" w:fill="FFFFFF"/>
        </w:rPr>
        <w:t>带头过紧日子</w:t>
      </w:r>
      <w:r>
        <w:rPr>
          <w:rFonts w:hint="eastAsia" w:ascii="仿宋_GB2312" w:hAnsi="仿宋_GB2312" w:eastAsia="仿宋_GB2312" w:cs="仿宋_GB2312"/>
          <w:i w:val="0"/>
          <w:iCs w:val="0"/>
          <w:caps w:val="0"/>
          <w:color w:val="auto"/>
          <w:spacing w:val="0"/>
          <w:sz w:val="32"/>
          <w:szCs w:val="32"/>
          <w:shd w:val="clear" w:color="auto" w:fill="FFFFFF"/>
          <w:lang w:eastAsia="zh-CN"/>
        </w:rPr>
        <w:t>的原则</w:t>
      </w:r>
      <w:r>
        <w:rPr>
          <w:rFonts w:hint="eastAsia" w:ascii="仿宋_GB2312" w:hAnsi="仿宋_GB2312" w:eastAsia="仿宋_GB2312" w:cs="仿宋_GB2312"/>
          <w:i w:val="0"/>
          <w:iCs w:val="0"/>
          <w:caps w:val="0"/>
          <w:color w:val="auto"/>
          <w:spacing w:val="0"/>
          <w:sz w:val="32"/>
          <w:szCs w:val="32"/>
          <w:shd w:val="clear" w:color="auto" w:fill="FFFFFF"/>
        </w:rPr>
        <w:t>，</w:t>
      </w:r>
      <w:r>
        <w:rPr>
          <w:rFonts w:hint="eastAsia" w:ascii="Times New Roman" w:hAnsi="Times New Roman" w:eastAsia="仿宋_GB2312"/>
          <w:b w:val="0"/>
          <w:bCs w:val="0"/>
          <w:sz w:val="32"/>
          <w:szCs w:val="32"/>
          <w:highlight w:val="none"/>
          <w:lang w:val="en-US" w:eastAsia="zh-CN"/>
        </w:rPr>
        <w:t>新增要求：</w:t>
      </w:r>
      <w:r>
        <w:rPr>
          <w:rFonts w:hint="eastAsia" w:ascii="Times New Roman" w:hAnsi="Times New Roman" w:eastAsia="仿宋_GB2312"/>
          <w:b/>
          <w:bCs/>
          <w:sz w:val="32"/>
          <w:szCs w:val="32"/>
          <w:highlight w:val="none"/>
          <w:lang w:val="en-US" w:eastAsia="zh-CN"/>
        </w:rPr>
        <w:t>一是在会议食宿方面，</w:t>
      </w:r>
      <w:r>
        <w:rPr>
          <w:rFonts w:hint="eastAsia" w:ascii="Times New Roman" w:hAnsi="Times New Roman" w:eastAsia="仿宋_GB2312"/>
          <w:b w:val="0"/>
          <w:bCs w:val="0"/>
          <w:sz w:val="32"/>
          <w:szCs w:val="32"/>
          <w:highlight w:val="none"/>
          <w:lang w:val="en-US" w:eastAsia="zh-CN"/>
        </w:rPr>
        <w:t>规定“实际会期半天以内的会议，会议举办单位原则上不安排餐食和住宿。因会议时间延长、参会人员来自威海主城区以外等特殊情况确需安排用餐，可由会议举办单位在机关事业单位食堂或会议场所提供一次工作用餐”。</w:t>
      </w:r>
      <w:r>
        <w:rPr>
          <w:rFonts w:hint="eastAsia" w:ascii="Times New Roman" w:hAnsi="Times New Roman" w:eastAsia="仿宋_GB2312"/>
          <w:b/>
          <w:bCs/>
          <w:sz w:val="32"/>
          <w:szCs w:val="32"/>
          <w:highlight w:val="none"/>
          <w:lang w:val="en-US" w:eastAsia="zh-CN"/>
        </w:rPr>
        <w:t>二是在会务管理方面，</w:t>
      </w:r>
      <w:r>
        <w:rPr>
          <w:rFonts w:hint="eastAsia" w:ascii="Times New Roman" w:hAnsi="Times New Roman" w:eastAsia="仿宋_GB2312"/>
          <w:b w:val="0"/>
          <w:bCs w:val="0"/>
          <w:sz w:val="32"/>
          <w:szCs w:val="32"/>
          <w:highlight w:val="none"/>
          <w:lang w:val="en-US" w:eastAsia="zh-CN"/>
        </w:rPr>
        <w:t>规定“二类、三类会议原则上不发放文件袋、笔、笔记本等用品；严格控制会议纸质材料印发数量和范围，原则上不用彩印、铜版纸印刷”。</w:t>
      </w:r>
      <w:r>
        <w:rPr>
          <w:rFonts w:hint="eastAsia" w:ascii="Times New Roman" w:hAnsi="Times New Roman" w:eastAsia="仿宋_GB2312"/>
          <w:b/>
          <w:bCs/>
          <w:sz w:val="32"/>
          <w:szCs w:val="32"/>
          <w:highlight w:val="none"/>
          <w:lang w:val="en-US" w:eastAsia="zh-CN"/>
        </w:rPr>
        <w:t>三是在费用支出方面，</w:t>
      </w:r>
      <w:r>
        <w:rPr>
          <w:rFonts w:hint="eastAsia" w:ascii="Times New Roman" w:hAnsi="Times New Roman" w:eastAsia="仿宋_GB2312"/>
          <w:b w:val="0"/>
          <w:bCs w:val="0"/>
          <w:sz w:val="32"/>
          <w:szCs w:val="32"/>
          <w:highlight w:val="none"/>
          <w:lang w:val="en-US" w:eastAsia="zh-CN"/>
        </w:rPr>
        <w:t>规定“承办上级业务主管部门指派会议所发生的会议费，按照“谁举办、谁承担”的支出原则，由承办单位协调上级部门解决，市级财政原则上不单独安排承办单位有关会议支出”。</w:t>
      </w:r>
    </w:p>
    <w:p>
      <w:pPr>
        <w:pStyle w:val="2"/>
        <w:keepNext w:val="0"/>
        <w:keepLines w:val="0"/>
        <w:pageBreakBefore w:val="0"/>
        <w:kinsoku/>
        <w:wordWrap/>
        <w:overflowPunct/>
        <w:topLinePunct w:val="0"/>
        <w:autoSpaceDE/>
        <w:autoSpaceDN/>
        <w:bidi w:val="0"/>
        <w:spacing w:line="600" w:lineRule="exact"/>
        <w:textAlignment w:val="auto"/>
        <w:rPr>
          <w:rFonts w:hint="eastAsia" w:ascii="黑体" w:hAnsi="黑体" w:eastAsia="黑体" w:cs="黑体"/>
          <w:b w:val="0"/>
          <w:bCs w:val="0"/>
          <w:kern w:val="2"/>
          <w:sz w:val="32"/>
          <w:szCs w:val="32"/>
          <w:highlight w:val="none"/>
          <w:lang w:val="en-US" w:eastAsia="zh-CN" w:bidi="ar-SA"/>
        </w:rPr>
      </w:pPr>
      <w:r>
        <w:rPr>
          <w:rFonts w:hint="eastAsia" w:ascii="黑体" w:hAnsi="黑体" w:eastAsia="黑体" w:cs="黑体"/>
          <w:b w:val="0"/>
          <w:bCs w:val="0"/>
          <w:kern w:val="2"/>
          <w:sz w:val="32"/>
          <w:szCs w:val="32"/>
          <w:highlight w:val="none"/>
          <w:lang w:val="en-US" w:eastAsia="zh-CN" w:bidi="ar-SA"/>
        </w:rPr>
        <w:t>四、下步工作</w:t>
      </w:r>
    </w:p>
    <w:p>
      <w:pPr>
        <w:pStyle w:val="2"/>
        <w:keepNext w:val="0"/>
        <w:keepLines w:val="0"/>
        <w:pageBreakBefore w:val="0"/>
        <w:kinsoku/>
        <w:wordWrap/>
        <w:overflowPunct/>
        <w:topLinePunct w:val="0"/>
        <w:autoSpaceDE/>
        <w:autoSpaceDN/>
        <w:bidi w:val="0"/>
        <w:spacing w:line="600" w:lineRule="exact"/>
        <w:textAlignment w:val="auto"/>
        <w:rPr>
          <w:rFonts w:hint="eastAsia" w:ascii="Times New Roman" w:hAnsi="Times New Roman" w:eastAsia="仿宋_GB2312" w:cstheme="minorBidi"/>
          <w:b w:val="0"/>
          <w:bCs w:val="0"/>
          <w:kern w:val="2"/>
          <w:sz w:val="32"/>
          <w:szCs w:val="32"/>
          <w:highlight w:val="none"/>
          <w:lang w:val="en-US" w:eastAsia="zh-CN" w:bidi="ar-SA"/>
        </w:rPr>
      </w:pPr>
      <w:r>
        <w:rPr>
          <w:rFonts w:hint="eastAsia" w:ascii="Times New Roman" w:hAnsi="Times New Roman" w:eastAsia="仿宋_GB2312" w:cstheme="minorBidi"/>
          <w:b w:val="0"/>
          <w:bCs w:val="0"/>
          <w:kern w:val="2"/>
          <w:sz w:val="32"/>
          <w:szCs w:val="32"/>
          <w:highlight w:val="none"/>
          <w:lang w:val="en-US" w:eastAsia="zh-CN" w:bidi="ar-SA"/>
        </w:rPr>
        <w:t>市财政局将根据各部门、单位反馈意见，进一步修改完善《办法》，按程序报请市委、市政府审议后发布实施。</w:t>
      </w:r>
    </w:p>
    <w:p>
      <w:pPr>
        <w:pStyle w:val="2"/>
        <w:keepNext w:val="0"/>
        <w:keepLines w:val="0"/>
        <w:pageBreakBefore w:val="0"/>
        <w:kinsoku/>
        <w:wordWrap/>
        <w:overflowPunct/>
        <w:topLinePunct w:val="0"/>
        <w:autoSpaceDE/>
        <w:autoSpaceDN/>
        <w:bidi w:val="0"/>
        <w:spacing w:line="600" w:lineRule="exact"/>
        <w:textAlignment w:val="auto"/>
        <w:rPr>
          <w:rFonts w:hint="default" w:ascii="Times New Roman" w:hAnsi="Times New Roman" w:eastAsia="仿宋_GB2312" w:cstheme="minorBidi"/>
          <w:b w:val="0"/>
          <w:bCs w:val="0"/>
          <w:kern w:val="2"/>
          <w:sz w:val="32"/>
          <w:szCs w:val="32"/>
          <w:highlight w:val="none"/>
          <w:lang w:val="en-US" w:eastAsia="zh-CN" w:bidi="ar-SA"/>
        </w:rPr>
      </w:pPr>
    </w:p>
    <w:p>
      <w:pPr>
        <w:pStyle w:val="2"/>
        <w:keepNext w:val="0"/>
        <w:keepLines w:val="0"/>
        <w:pageBreakBefore w:val="0"/>
        <w:kinsoku/>
        <w:wordWrap/>
        <w:overflowPunct/>
        <w:topLinePunct w:val="0"/>
        <w:autoSpaceDE/>
        <w:autoSpaceDN/>
        <w:bidi w:val="0"/>
        <w:spacing w:line="600" w:lineRule="exact"/>
        <w:textAlignment w:val="auto"/>
        <w:rPr>
          <w:rFonts w:hint="eastAsia" w:ascii="Times New Roman" w:hAnsi="Times New Roman" w:eastAsia="仿宋_GB2312" w:cstheme="minorBidi"/>
          <w:b w:val="0"/>
          <w:bCs w:val="0"/>
          <w:kern w:val="2"/>
          <w:sz w:val="32"/>
          <w:szCs w:val="32"/>
          <w:highlight w:val="none"/>
          <w:lang w:val="en-US" w:eastAsia="zh-CN" w:bidi="ar-SA"/>
        </w:rPr>
      </w:pPr>
      <w:r>
        <w:rPr>
          <w:rFonts w:hint="eastAsia" w:ascii="Times New Roman" w:hAnsi="Times New Roman" w:eastAsia="仿宋_GB2312" w:cstheme="minorBidi"/>
          <w:b w:val="0"/>
          <w:bCs w:val="0"/>
          <w:kern w:val="2"/>
          <w:sz w:val="32"/>
          <w:szCs w:val="32"/>
          <w:highlight w:val="none"/>
          <w:lang w:val="en-US" w:eastAsia="zh-CN" w:bidi="ar-SA"/>
        </w:rPr>
        <w:t xml:space="preserve">                               </w:t>
      </w:r>
    </w:p>
    <w:p>
      <w:pPr>
        <w:pStyle w:val="5"/>
        <w:keepNext w:val="0"/>
        <w:keepLines w:val="0"/>
        <w:pageBreakBefore w:val="0"/>
        <w:kinsoku/>
        <w:wordWrap/>
        <w:overflowPunct/>
        <w:topLinePunct w:val="0"/>
        <w:autoSpaceDE/>
        <w:autoSpaceDN/>
        <w:bidi w:val="0"/>
        <w:spacing w:line="600" w:lineRule="exact"/>
        <w:textAlignment w:val="auto"/>
        <w:rPr>
          <w:rFonts w:hint="eastAsia" w:ascii="Times New Roman" w:hAnsi="Times New Roman" w:eastAsia="仿宋_GB2312" w:cstheme="minorBidi"/>
          <w:b w:val="0"/>
          <w:bCs w:val="0"/>
          <w:kern w:val="2"/>
          <w:sz w:val="32"/>
          <w:szCs w:val="32"/>
          <w:highlight w:val="none"/>
          <w:lang w:val="en-US" w:eastAsia="zh-CN" w:bidi="ar-SA"/>
        </w:rPr>
      </w:pPr>
    </w:p>
    <w:sectPr>
      <w:footerReference r:id="rId3" w:type="default"/>
      <w:pgSz w:w="11906" w:h="16838"/>
      <w:pgMar w:top="2098" w:right="1474" w:bottom="1871" w:left="1587" w:header="851" w:footer="992" w:gutter="0"/>
      <w:pgNumType w:fmt="decimal"/>
      <w:cols w:space="0" w:num="1"/>
      <w:titlePg/>
      <w:rtlGutter w:val="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altName w:val="DejaVu Sans"/>
    <w:panose1 w:val="02020603050405020304"/>
    <w:charset w:val="01"/>
    <w:family w:val="auto"/>
    <w:pitch w:val="default"/>
    <w:sig w:usb0="00000000" w:usb1="00000000" w:usb2="00000009" w:usb3="00000000" w:csb0="400001FF" w:csb1="FFFF0000"/>
  </w:font>
  <w:font w:name="宋体">
    <w:altName w:val="方正书宋_GBK"/>
    <w:panose1 w:val="00000000000000000000"/>
    <w:charset w:val="00"/>
    <w:family w:val="auto"/>
    <w:pitch w:val="default"/>
    <w:sig w:usb0="00000000" w:usb1="00000000" w:usb2="00000000" w:usb3="00000000" w:csb0="00000000" w:csb1="00000000"/>
  </w:font>
  <w:font w:name="Wingdings">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2000609000000000000"/>
    <w:charset w:val="02"/>
    <w:family w:val="roman"/>
    <w:pitch w:val="default"/>
    <w:sig w:usb0="800000AF" w:usb1="4000204A" w:usb2="00000000" w:usb3="00000000" w:csb0="20000000" w:csb1="00000000"/>
  </w:font>
  <w:font w:name="Calibri">
    <w:altName w:val="DejaVu Sans"/>
    <w:panose1 w:val="020F0502020204030204"/>
    <w:charset w:val="00"/>
    <w:family w:val="swiss"/>
    <w:pitch w:val="default"/>
    <w:sig w:usb0="00000000" w:usb1="00000000" w:usb2="00000001" w:usb3="00000000" w:csb0="0000019F" w:csb1="00000000"/>
  </w:font>
  <w:font w:name="仿宋_GB2312">
    <w:panose1 w:val="02010609030101010101"/>
    <w:charset w:val="86"/>
    <w:family w:val="auto"/>
    <w:pitch w:val="default"/>
    <w:sig w:usb0="00000001" w:usb1="080E0000" w:usb2="00000000" w:usb3="00000000" w:csb0="00040000" w:csb1="00000000"/>
  </w:font>
  <w:font w:name="仿宋">
    <w:altName w:val="方正仿宋_GBK"/>
    <w:panose1 w:val="02010609060101010101"/>
    <w:charset w:val="86"/>
    <w:family w:val="auto"/>
    <w:pitch w:val="default"/>
    <w:sig w:usb0="00000000" w:usb1="00000000" w:usb2="00000016" w:usb3="00000000" w:csb0="00040001" w:csb1="00000000"/>
  </w:font>
  <w:font w:name="方正小标宋简体">
    <w:panose1 w:val="02000000000000000000"/>
    <w:charset w:val="86"/>
    <w:family w:val="auto"/>
    <w:pitch w:val="default"/>
    <w:sig w:usb0="A00002BF" w:usb1="184F6CFA" w:usb2="00000012" w:usb3="00000000" w:csb0="00040001" w:csb1="00000000"/>
  </w:font>
  <w:font w:name="楷体_GB2312">
    <w:panose1 w:val="02010609030101010101"/>
    <w:charset w:val="86"/>
    <w:family w:val="auto"/>
    <w:pitch w:val="default"/>
    <w:sig w:usb0="00000001" w:usb1="080E0000" w:usb2="00000000" w:usb3="00000000" w:csb0="00040000" w:csb1="00000000"/>
  </w:font>
  <w:font w:name="方正书宋_GBK">
    <w:panose1 w:val="02000000000000000000"/>
    <w:charset w:val="86"/>
    <w:family w:val="auto"/>
    <w:pitch w:val="default"/>
    <w:sig w:usb0="00000001" w:usb1="08000000" w:usb2="00000000" w:usb3="00000000" w:csb0="00040000" w:csb1="00000000"/>
  </w:font>
  <w:font w:name="DejaVu Sans">
    <w:panose1 w:val="020B0603030804020204"/>
    <w:charset w:val="00"/>
    <w:family w:val="auto"/>
    <w:pitch w:val="default"/>
    <w:sig w:usb0="E7006EFF" w:usb1="D200FDFF" w:usb2="0A246029" w:usb3="0400200C" w:csb0="600001FF" w:csb1="DFFF0000"/>
  </w:font>
  <w:font w:name="方正黑体_GBK">
    <w:panose1 w:val="02000000000000000000"/>
    <w:charset w:val="86"/>
    <w:family w:val="auto"/>
    <w:pitch w:val="default"/>
    <w:sig w:usb0="00000001" w:usb1="08000000" w:usb2="00000000" w:usb3="00000000" w:csb0="00040000" w:csb1="00000000"/>
  </w:font>
  <w:font w:name="方正仿宋_GBK">
    <w:panose1 w:val="02000000000000000000"/>
    <w:charset w:val="86"/>
    <w:family w:val="auto"/>
    <w:pitch w:val="default"/>
    <w:sig w:usb0="00000001" w:usb1="08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w:rPr>
        <w:sz w:val="18"/>
      </w:rPr>
      <mc:AlternateContent>
        <mc:Choice Requires="wps">
          <w:drawing>
            <wp:anchor distT="0" distB="0" distL="114300" distR="114300" simplePos="0" relativeHeight="251658240"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true"/>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6"/>
                          </w:pPr>
                          <w:r>
                            <w:rPr>
                              <w:rFonts w:hint="eastAsia" w:asciiTheme="minorEastAsia" w:hAnsiTheme="minorEastAsia" w:eastAsiaTheme="minorEastAsia" w:cstheme="minorEastAsia"/>
                              <w:sz w:val="28"/>
                              <w:szCs w:val="28"/>
                            </w:rPr>
                            <w:t xml:space="preserve">— </w:t>
                          </w:r>
                          <w:r>
                            <w:rPr>
                              <w:rFonts w:hint="eastAsia" w:asciiTheme="minorEastAsia" w:hAnsiTheme="minorEastAsia" w:eastAsiaTheme="minorEastAsia" w:cstheme="minorEastAsia"/>
                              <w:sz w:val="28"/>
                              <w:szCs w:val="28"/>
                            </w:rPr>
                            <w:fldChar w:fldCharType="begin"/>
                          </w:r>
                          <w:r>
                            <w:rPr>
                              <w:rFonts w:hint="eastAsia" w:asciiTheme="minorEastAsia" w:hAnsiTheme="minorEastAsia" w:eastAsiaTheme="minorEastAsia" w:cstheme="minorEastAsia"/>
                              <w:sz w:val="28"/>
                              <w:szCs w:val="28"/>
                            </w:rPr>
                            <w:instrText xml:space="preserve"> PAGE  \* MERGEFORMAT </w:instrText>
                          </w:r>
                          <w:r>
                            <w:rPr>
                              <w:rFonts w:hint="eastAsia" w:asciiTheme="minorEastAsia" w:hAnsiTheme="minorEastAsia" w:eastAsiaTheme="minorEastAsia" w:cstheme="minorEastAsia"/>
                              <w:sz w:val="28"/>
                              <w:szCs w:val="28"/>
                            </w:rPr>
                            <w:fldChar w:fldCharType="separate"/>
                          </w:r>
                          <w:r>
                            <w:rPr>
                              <w:rFonts w:hint="eastAsia" w:asciiTheme="minorEastAsia" w:hAnsiTheme="minorEastAsia" w:eastAsiaTheme="minorEastAsia" w:cstheme="minorEastAsia"/>
                              <w:sz w:val="28"/>
                              <w:szCs w:val="28"/>
                            </w:rPr>
                            <w:t>1</w:t>
                          </w:r>
                          <w:r>
                            <w:rPr>
                              <w:rFonts w:hint="eastAsia" w:asciiTheme="minorEastAsia" w:hAnsiTheme="minorEastAsia" w:eastAsiaTheme="minorEastAsia" w:cstheme="minorEastAsia"/>
                              <w:sz w:val="28"/>
                              <w:szCs w:val="28"/>
                            </w:rPr>
                            <w:fldChar w:fldCharType="end"/>
                          </w:r>
                          <w:r>
                            <w:rPr>
                              <w:rFonts w:hint="eastAsia" w:asciiTheme="minorEastAsia" w:hAnsiTheme="minorEastAsia" w:eastAsiaTheme="minorEastAsia" w:cstheme="minorEastAsia"/>
                              <w:sz w:val="28"/>
                              <w:szCs w:val="28"/>
                            </w:rPr>
                            <w:t xml:space="preserve"> —</w:t>
                          </w:r>
                        </w:p>
                      </w:txbxContent>
                    </wps:txbx>
                    <wps:bodyPr rot="0" spcFirstLastPara="0" vertOverflow="overflow" horzOverflow="overflow" vert="horz" wrap="none" lIns="0" tIns="0" rIns="0" bIns="0" numCol="1" spcCol="0" rtlCol="0" fromWordArt="false" anchor="t" anchorCtr="false" forceAA="false" upright="false" compatLnSpc="true">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58240;mso-width-relative:page;mso-height-relative:page;" filled="f" stroked="f" coordsize="21600,21600" o:gfxdata="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">
              <v:fill on="f" focussize="0,0"/>
              <v:stroke on="f" weight="0.5pt"/>
              <v:imagedata o:title=""/>
              <o:lock v:ext="edit" aspectratio="f"/>
              <v:textbox inset="0mm,0mm,0mm,0mm" style="mso-fit-shape-to-text:t;">
                <w:txbxContent>
                  <w:p>
                    <w:pPr>
                      <w:pStyle w:val="6"/>
                    </w:pPr>
                    <w:r>
                      <w:rPr>
                        <w:rFonts w:hint="eastAsia" w:asciiTheme="minorEastAsia" w:hAnsiTheme="minorEastAsia" w:eastAsiaTheme="minorEastAsia" w:cstheme="minorEastAsia"/>
                        <w:sz w:val="28"/>
                        <w:szCs w:val="28"/>
                      </w:rPr>
                      <w:t xml:space="preserve">— </w:t>
                    </w:r>
                    <w:r>
                      <w:rPr>
                        <w:rFonts w:hint="eastAsia" w:asciiTheme="minorEastAsia" w:hAnsiTheme="minorEastAsia" w:eastAsiaTheme="minorEastAsia" w:cstheme="minorEastAsia"/>
                        <w:sz w:val="28"/>
                        <w:szCs w:val="28"/>
                      </w:rPr>
                      <w:fldChar w:fldCharType="begin"/>
                    </w:r>
                    <w:r>
                      <w:rPr>
                        <w:rFonts w:hint="eastAsia" w:asciiTheme="minorEastAsia" w:hAnsiTheme="minorEastAsia" w:eastAsiaTheme="minorEastAsia" w:cstheme="minorEastAsia"/>
                        <w:sz w:val="28"/>
                        <w:szCs w:val="28"/>
                      </w:rPr>
                      <w:instrText xml:space="preserve"> PAGE  \* MERGEFORMAT </w:instrText>
                    </w:r>
                    <w:r>
                      <w:rPr>
                        <w:rFonts w:hint="eastAsia" w:asciiTheme="minorEastAsia" w:hAnsiTheme="minorEastAsia" w:eastAsiaTheme="minorEastAsia" w:cstheme="minorEastAsia"/>
                        <w:sz w:val="28"/>
                        <w:szCs w:val="28"/>
                      </w:rPr>
                      <w:fldChar w:fldCharType="separate"/>
                    </w:r>
                    <w:r>
                      <w:rPr>
                        <w:rFonts w:hint="eastAsia" w:asciiTheme="minorEastAsia" w:hAnsiTheme="minorEastAsia" w:eastAsiaTheme="minorEastAsia" w:cstheme="minorEastAsia"/>
                        <w:sz w:val="28"/>
                        <w:szCs w:val="28"/>
                      </w:rPr>
                      <w:t>1</w:t>
                    </w:r>
                    <w:r>
                      <w:rPr>
                        <w:rFonts w:hint="eastAsia" w:asciiTheme="minorEastAsia" w:hAnsiTheme="minorEastAsia" w:eastAsiaTheme="minorEastAsia" w:cstheme="minorEastAsia"/>
                        <w:sz w:val="28"/>
                        <w:szCs w:val="28"/>
                      </w:rPr>
                      <w:fldChar w:fldCharType="end"/>
                    </w:r>
                    <w:r>
                      <w:rPr>
                        <w:rFonts w:hint="eastAsia" w:asciiTheme="minorEastAsia" w:hAnsiTheme="minorEastAsia" w:eastAsiaTheme="minorEastAsia" w:cstheme="minorEastAsia"/>
                        <w:sz w:val="28"/>
                        <w:szCs w:val="28"/>
                      </w:rPr>
                      <w:t xml:space="preserve"> —</w:t>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F2294F16"/>
    <w:multiLevelType w:val="singleLevel"/>
    <w:tmpl w:val="F2294F16"/>
    <w:lvl w:ilvl="0" w:tentative="0">
      <w:start w:val="1"/>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true"/>
  <w:bordersDoNotSurroundFooter w:val="true"/>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4A1947CF"/>
    <w:rsid w:val="00411648"/>
    <w:rsid w:val="006B6B82"/>
    <w:rsid w:val="008C2119"/>
    <w:rsid w:val="00982C92"/>
    <w:rsid w:val="00A42610"/>
    <w:rsid w:val="01122B18"/>
    <w:rsid w:val="013D56EA"/>
    <w:rsid w:val="03E50F09"/>
    <w:rsid w:val="03FD2601"/>
    <w:rsid w:val="05375C0F"/>
    <w:rsid w:val="05750E64"/>
    <w:rsid w:val="061C68F5"/>
    <w:rsid w:val="064F65C3"/>
    <w:rsid w:val="0738146E"/>
    <w:rsid w:val="07572E3F"/>
    <w:rsid w:val="07C96555"/>
    <w:rsid w:val="08964EB6"/>
    <w:rsid w:val="08B610F5"/>
    <w:rsid w:val="096B6311"/>
    <w:rsid w:val="098815A4"/>
    <w:rsid w:val="09D51228"/>
    <w:rsid w:val="0A1977D5"/>
    <w:rsid w:val="0AB1092E"/>
    <w:rsid w:val="0AD70EF2"/>
    <w:rsid w:val="0B321AC6"/>
    <w:rsid w:val="0C0D74AA"/>
    <w:rsid w:val="0C4C6CAA"/>
    <w:rsid w:val="0C870F93"/>
    <w:rsid w:val="0C9E5812"/>
    <w:rsid w:val="0CAF1B92"/>
    <w:rsid w:val="0CB7382E"/>
    <w:rsid w:val="0CBF2860"/>
    <w:rsid w:val="0CE23929"/>
    <w:rsid w:val="0E0463D5"/>
    <w:rsid w:val="0E12257E"/>
    <w:rsid w:val="0E512794"/>
    <w:rsid w:val="10902A4C"/>
    <w:rsid w:val="10D96414"/>
    <w:rsid w:val="11AA516C"/>
    <w:rsid w:val="12F61CD1"/>
    <w:rsid w:val="13DA0A3B"/>
    <w:rsid w:val="14B3545F"/>
    <w:rsid w:val="157B883B"/>
    <w:rsid w:val="165532B2"/>
    <w:rsid w:val="165D51A2"/>
    <w:rsid w:val="167D6E5B"/>
    <w:rsid w:val="174E4A7F"/>
    <w:rsid w:val="17C41966"/>
    <w:rsid w:val="18526915"/>
    <w:rsid w:val="19002F59"/>
    <w:rsid w:val="1A33212A"/>
    <w:rsid w:val="1ADC3E7D"/>
    <w:rsid w:val="1B015E24"/>
    <w:rsid w:val="1B4B7388"/>
    <w:rsid w:val="1B4E7E04"/>
    <w:rsid w:val="1BF07C42"/>
    <w:rsid w:val="1C676581"/>
    <w:rsid w:val="1C996139"/>
    <w:rsid w:val="1D2A50CC"/>
    <w:rsid w:val="1D99350A"/>
    <w:rsid w:val="1DF80093"/>
    <w:rsid w:val="1DFB29DC"/>
    <w:rsid w:val="1E9433D8"/>
    <w:rsid w:val="1EC33F50"/>
    <w:rsid w:val="1ECD6267"/>
    <w:rsid w:val="1F7F37F5"/>
    <w:rsid w:val="1FBA36D9"/>
    <w:rsid w:val="20B23B4C"/>
    <w:rsid w:val="21315A24"/>
    <w:rsid w:val="22020E5A"/>
    <w:rsid w:val="23423529"/>
    <w:rsid w:val="23F11FF9"/>
    <w:rsid w:val="23F2316E"/>
    <w:rsid w:val="242F6068"/>
    <w:rsid w:val="245D5085"/>
    <w:rsid w:val="248011A2"/>
    <w:rsid w:val="24E80F1A"/>
    <w:rsid w:val="264953A4"/>
    <w:rsid w:val="26652B72"/>
    <w:rsid w:val="26A45C07"/>
    <w:rsid w:val="277A6F61"/>
    <w:rsid w:val="284705C7"/>
    <w:rsid w:val="29374C8C"/>
    <w:rsid w:val="29A967A3"/>
    <w:rsid w:val="2A1355C0"/>
    <w:rsid w:val="2A2E79AF"/>
    <w:rsid w:val="2A454776"/>
    <w:rsid w:val="2A745DDA"/>
    <w:rsid w:val="2AA62280"/>
    <w:rsid w:val="2AE57126"/>
    <w:rsid w:val="2B81730D"/>
    <w:rsid w:val="2C95381B"/>
    <w:rsid w:val="2D5062BB"/>
    <w:rsid w:val="2E5E6571"/>
    <w:rsid w:val="2E823A4C"/>
    <w:rsid w:val="2E8C42BB"/>
    <w:rsid w:val="2FA32673"/>
    <w:rsid w:val="2FFA77A2"/>
    <w:rsid w:val="31042D99"/>
    <w:rsid w:val="31990B1B"/>
    <w:rsid w:val="321B6C5A"/>
    <w:rsid w:val="32BF5F2F"/>
    <w:rsid w:val="33FF07C0"/>
    <w:rsid w:val="346E33E8"/>
    <w:rsid w:val="34BD65A6"/>
    <w:rsid w:val="34E11611"/>
    <w:rsid w:val="350C0909"/>
    <w:rsid w:val="350F73E7"/>
    <w:rsid w:val="3530718D"/>
    <w:rsid w:val="360A726B"/>
    <w:rsid w:val="363B0A1F"/>
    <w:rsid w:val="37610251"/>
    <w:rsid w:val="37AF1FD8"/>
    <w:rsid w:val="388146AF"/>
    <w:rsid w:val="38E036B0"/>
    <w:rsid w:val="3A3863A3"/>
    <w:rsid w:val="3A61514C"/>
    <w:rsid w:val="3A6229A8"/>
    <w:rsid w:val="3ACE7D04"/>
    <w:rsid w:val="3CCC2025"/>
    <w:rsid w:val="3D3B04B3"/>
    <w:rsid w:val="3E134B5D"/>
    <w:rsid w:val="3E6060A4"/>
    <w:rsid w:val="3FEC1FC0"/>
    <w:rsid w:val="3FEEF676"/>
    <w:rsid w:val="41170DE2"/>
    <w:rsid w:val="42D2350A"/>
    <w:rsid w:val="43CC0EC0"/>
    <w:rsid w:val="440833F9"/>
    <w:rsid w:val="44504A42"/>
    <w:rsid w:val="44852D81"/>
    <w:rsid w:val="45647DBE"/>
    <w:rsid w:val="46476685"/>
    <w:rsid w:val="47241BFD"/>
    <w:rsid w:val="47DF7F06"/>
    <w:rsid w:val="48AF48F4"/>
    <w:rsid w:val="48BD50BE"/>
    <w:rsid w:val="49D23DC2"/>
    <w:rsid w:val="4A1947CF"/>
    <w:rsid w:val="4A732AE6"/>
    <w:rsid w:val="4A8D3E17"/>
    <w:rsid w:val="4B1A06EF"/>
    <w:rsid w:val="4B8A3869"/>
    <w:rsid w:val="4BA90D9E"/>
    <w:rsid w:val="4BE1129E"/>
    <w:rsid w:val="4BF63E59"/>
    <w:rsid w:val="4BF711DB"/>
    <w:rsid w:val="4D77421E"/>
    <w:rsid w:val="4DC03ED8"/>
    <w:rsid w:val="4DEB5D49"/>
    <w:rsid w:val="4E9B1B42"/>
    <w:rsid w:val="4EBD0986"/>
    <w:rsid w:val="4F7D0D9A"/>
    <w:rsid w:val="4FBB620B"/>
    <w:rsid w:val="51132017"/>
    <w:rsid w:val="51B86C49"/>
    <w:rsid w:val="523D4BEA"/>
    <w:rsid w:val="52567260"/>
    <w:rsid w:val="52747383"/>
    <w:rsid w:val="53D22074"/>
    <w:rsid w:val="54FB2F5B"/>
    <w:rsid w:val="570A4C58"/>
    <w:rsid w:val="5774688F"/>
    <w:rsid w:val="57855A49"/>
    <w:rsid w:val="58732BBA"/>
    <w:rsid w:val="58D7536E"/>
    <w:rsid w:val="58EF5F7A"/>
    <w:rsid w:val="595E45B1"/>
    <w:rsid w:val="5AF124A1"/>
    <w:rsid w:val="5AFD2E49"/>
    <w:rsid w:val="5B107458"/>
    <w:rsid w:val="5B333E1A"/>
    <w:rsid w:val="5BAE2A95"/>
    <w:rsid w:val="5DC96509"/>
    <w:rsid w:val="5E7E213F"/>
    <w:rsid w:val="5E8063E9"/>
    <w:rsid w:val="5F0C1A7E"/>
    <w:rsid w:val="5F3C2E12"/>
    <w:rsid w:val="6035557F"/>
    <w:rsid w:val="60B56528"/>
    <w:rsid w:val="619E50E7"/>
    <w:rsid w:val="62026AC3"/>
    <w:rsid w:val="62BA6D24"/>
    <w:rsid w:val="635553B3"/>
    <w:rsid w:val="63635648"/>
    <w:rsid w:val="640F5526"/>
    <w:rsid w:val="652716C0"/>
    <w:rsid w:val="656551C3"/>
    <w:rsid w:val="65E71BC6"/>
    <w:rsid w:val="65E93590"/>
    <w:rsid w:val="66107A9C"/>
    <w:rsid w:val="66314893"/>
    <w:rsid w:val="66A075CE"/>
    <w:rsid w:val="675719C3"/>
    <w:rsid w:val="6821779D"/>
    <w:rsid w:val="68676E0A"/>
    <w:rsid w:val="692D7127"/>
    <w:rsid w:val="6A8245C0"/>
    <w:rsid w:val="6B233E16"/>
    <w:rsid w:val="6B5A64A5"/>
    <w:rsid w:val="6B876586"/>
    <w:rsid w:val="6BC25D76"/>
    <w:rsid w:val="6BD83DE6"/>
    <w:rsid w:val="6CA34494"/>
    <w:rsid w:val="6D790B1A"/>
    <w:rsid w:val="6DFD737B"/>
    <w:rsid w:val="6E4F6FF3"/>
    <w:rsid w:val="6E753FEE"/>
    <w:rsid w:val="6F223BEB"/>
    <w:rsid w:val="6F54233C"/>
    <w:rsid w:val="6FEB3E33"/>
    <w:rsid w:val="6FF269D5"/>
    <w:rsid w:val="70B612CC"/>
    <w:rsid w:val="70D52011"/>
    <w:rsid w:val="71D50116"/>
    <w:rsid w:val="7279273F"/>
    <w:rsid w:val="729E0E01"/>
    <w:rsid w:val="75286397"/>
    <w:rsid w:val="75D0192F"/>
    <w:rsid w:val="75DD021E"/>
    <w:rsid w:val="75E41F4B"/>
    <w:rsid w:val="761F0A3C"/>
    <w:rsid w:val="762C3C19"/>
    <w:rsid w:val="770468EC"/>
    <w:rsid w:val="78943E6A"/>
    <w:rsid w:val="78D41579"/>
    <w:rsid w:val="798532E7"/>
    <w:rsid w:val="79904760"/>
    <w:rsid w:val="79F52338"/>
    <w:rsid w:val="79FF1A1A"/>
    <w:rsid w:val="7A954E1D"/>
    <w:rsid w:val="7AAC361B"/>
    <w:rsid w:val="7C637FF8"/>
    <w:rsid w:val="7CA41274"/>
    <w:rsid w:val="7CC34D29"/>
    <w:rsid w:val="7CE92D51"/>
    <w:rsid w:val="7CFA1BAF"/>
    <w:rsid w:val="7D77A89E"/>
    <w:rsid w:val="7E3B0D1A"/>
    <w:rsid w:val="7ED15B08"/>
    <w:rsid w:val="7F49C2C1"/>
    <w:rsid w:val="7FB32C87"/>
    <w:rsid w:val="AFFB5E23"/>
    <w:rsid w:val="B5DB2FA5"/>
    <w:rsid w:val="B9F2CD31"/>
    <w:rsid w:val="BCBF4C15"/>
    <w:rsid w:val="BFAE7920"/>
    <w:rsid w:val="D3CF03F0"/>
    <w:rsid w:val="D7E97492"/>
    <w:rsid w:val="DBEF3930"/>
    <w:rsid w:val="E7BC9DAC"/>
    <w:rsid w:val="EAFFF1C8"/>
    <w:rsid w:val="EEF62820"/>
    <w:rsid w:val="F733B3D6"/>
    <w:rsid w:val="F97E6F61"/>
    <w:rsid w:val="FBFFF634"/>
    <w:rsid w:val="FDFF82EF"/>
    <w:rsid w:val="FFB700E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9"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iPriority="99"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iPriority="99"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3">
    <w:name w:val="heading 1"/>
    <w:basedOn w:val="1"/>
    <w:next w:val="1"/>
    <w:qFormat/>
    <w:uiPriority w:val="99"/>
    <w:pPr>
      <w:keepNext/>
      <w:keepLines/>
      <w:spacing w:line="576" w:lineRule="auto"/>
      <w:outlineLvl w:val="0"/>
    </w:pPr>
    <w:rPr>
      <w:rFonts w:ascii="Times New Roman" w:hAnsi="Times New Roman"/>
      <w:b/>
      <w:kern w:val="44"/>
      <w:sz w:val="44"/>
      <w:szCs w:val="20"/>
    </w:rPr>
  </w:style>
  <w:style w:type="character" w:default="1" w:styleId="11">
    <w:name w:val="Default Paragraph Font"/>
    <w:semiHidden/>
    <w:qFormat/>
    <w:uiPriority w:val="0"/>
  </w:style>
  <w:style w:type="table" w:default="1" w:styleId="10">
    <w:name w:val="Normal Table"/>
    <w:semiHidden/>
    <w:qFormat/>
    <w:uiPriority w:val="0"/>
    <w:tblPr>
      <w:tblCellMar>
        <w:top w:w="0" w:type="dxa"/>
        <w:left w:w="108" w:type="dxa"/>
        <w:bottom w:w="0" w:type="dxa"/>
        <w:right w:w="108" w:type="dxa"/>
      </w:tblCellMar>
    </w:tblPr>
  </w:style>
  <w:style w:type="paragraph" w:styleId="2">
    <w:name w:val="Normal Indent"/>
    <w:basedOn w:val="1"/>
    <w:unhideWhenUsed/>
    <w:qFormat/>
    <w:uiPriority w:val="99"/>
    <w:pPr>
      <w:snapToGrid w:val="0"/>
      <w:spacing w:line="300" w:lineRule="auto"/>
      <w:ind w:firstLine="556"/>
    </w:pPr>
    <w:rPr>
      <w:rFonts w:ascii="仿宋_GB2312" w:eastAsia="仿宋_GB2312"/>
      <w:kern w:val="0"/>
      <w:szCs w:val="20"/>
    </w:rPr>
  </w:style>
  <w:style w:type="paragraph" w:styleId="4">
    <w:name w:val="Body Text"/>
    <w:basedOn w:val="1"/>
    <w:next w:val="5"/>
    <w:semiHidden/>
    <w:qFormat/>
    <w:uiPriority w:val="0"/>
    <w:rPr>
      <w:rFonts w:ascii="仿宋" w:hAnsi="仿宋" w:eastAsia="仿宋" w:cs="仿宋"/>
      <w:sz w:val="35"/>
      <w:szCs w:val="35"/>
      <w:lang w:val="en-US" w:eastAsia="en-US" w:bidi="ar-SA"/>
    </w:rPr>
  </w:style>
  <w:style w:type="paragraph" w:styleId="5">
    <w:name w:val="Body Text First Indent"/>
    <w:basedOn w:val="4"/>
    <w:next w:val="4"/>
    <w:unhideWhenUsed/>
    <w:qFormat/>
    <w:uiPriority w:val="99"/>
    <w:pPr>
      <w:ind w:firstLine="420" w:firstLineChars="100"/>
    </w:pPr>
  </w:style>
  <w:style w:type="paragraph" w:styleId="6">
    <w:name w:val="footer"/>
    <w:basedOn w:val="1"/>
    <w:qFormat/>
    <w:uiPriority w:val="0"/>
    <w:pPr>
      <w:tabs>
        <w:tab w:val="center" w:pos="4153"/>
        <w:tab w:val="right" w:pos="8306"/>
      </w:tabs>
      <w:snapToGrid w:val="0"/>
      <w:jc w:val="left"/>
    </w:pPr>
    <w:rPr>
      <w:sz w:val="18"/>
    </w:rPr>
  </w:style>
  <w:style w:type="paragraph" w:styleId="7">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8">
    <w:name w:val="toc 1"/>
    <w:next w:val="1"/>
    <w:semiHidden/>
    <w:qFormat/>
    <w:uiPriority w:val="0"/>
    <w:pPr>
      <w:jc w:val="both"/>
    </w:pPr>
    <w:rPr>
      <w:rFonts w:ascii="Times New Roman" w:hAnsi="Times New Roman" w:eastAsia="仿宋_GB2312" w:cs="Times New Roman"/>
      <w:kern w:val="2"/>
      <w:sz w:val="32"/>
      <w:lang w:val="en-US" w:eastAsia="zh-CN" w:bidi="ar-SA"/>
    </w:rPr>
  </w:style>
  <w:style w:type="paragraph" w:styleId="9">
    <w:name w:val="Normal (Web)"/>
    <w:basedOn w:val="1"/>
    <w:qFormat/>
    <w:uiPriority w:val="0"/>
    <w:pPr>
      <w:spacing w:before="100" w:beforeAutospacing="1" w:after="100" w:afterAutospacing="1"/>
      <w:ind w:left="0" w:right="0"/>
      <w:jc w:val="left"/>
    </w:pPr>
    <w:rPr>
      <w:kern w:val="0"/>
      <w:sz w:val="24"/>
      <w:lang w:val="en-US" w:eastAsia="zh-CN" w:bidi="ar"/>
    </w:rPr>
  </w:style>
  <w:style w:type="character" w:styleId="12">
    <w:name w:val="Strong"/>
    <w:basedOn w:val="11"/>
    <w:qFormat/>
    <w:uiPriority w:val="0"/>
    <w:rPr>
      <w:b/>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true">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false"/>
        </a:gradFill>
        <a:gradFill rotWithShape="true">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false"/>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true">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false"/>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1</TotalTime>
  <ScaleCrop>false</ScaleCrop>
  <LinksUpToDate>false</LinksUpToDate>
  <CharactersWithSpaces>0</CharactersWithSpaces>
  <Application>WPS Office_11.8.2.9980_F1E327BC-269C-435d-A152-05C5408002CA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2018-07-15T07:11:00Z</dcterms:created>
  <dc:creator>d</dc:creator>
  <cp:lastModifiedBy>user</cp:lastModifiedBy>
  <cp:lastPrinted>2025-10-10T15:51:00Z</cp:lastPrinted>
  <dcterms:modified xsi:type="dcterms:W3CDTF">2025-10-13T16:36:11Z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2052-11.8.2.9980</vt:lpwstr>
  </property>
</Properties>
</file>