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433D7F"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 w14:paraId="3F44FB27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 w14:paraId="066C0736"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 w14:paraId="67C387B3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月份，全市一般公共预算收入完成104.5亿元，增长3.5%。其中，税收收入完成70.6亿元，增长3.2%。</w:t>
      </w:r>
    </w:p>
    <w:p w14:paraId="26A6A0CA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 w14:paraId="1C9242F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1、增值税2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.7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3B157E96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2D0A909A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3、个人所得税2.6亿元，下降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6662646F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.7亿元，增长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2D3106CD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3C5187AB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6、契税4.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2.8%。</w:t>
      </w:r>
    </w:p>
    <w:p w14:paraId="5CD17488"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 w14:paraId="262D2AC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月份，全市一般公共预算支出完成1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.7亿元，增长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.1%。</w:t>
      </w:r>
    </w:p>
    <w:p w14:paraId="3A7D756F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 w14:paraId="01494BE8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34.6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52.2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2DD3C189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7C9E0361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22.7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</w:rPr>
        <w:t>4.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3B997906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24.9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 w14:paraId="46314192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5、一般公共服务支出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1955661F"/>
    <w:rsid w:val="250C705F"/>
    <w:rsid w:val="39876DDE"/>
    <w:rsid w:val="3D594BA8"/>
    <w:rsid w:val="3FA44368"/>
    <w:rsid w:val="6EBB2898"/>
    <w:rsid w:val="715D4A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302</Words>
  <Characters>391</Characters>
  <Lines>3</Lines>
  <Paragraphs>1</Paragraphs>
  <TotalTime>2</TotalTime>
  <ScaleCrop>false</ScaleCrop>
  <LinksUpToDate>false</LinksUpToDate>
  <CharactersWithSpaces>462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王二狗</cp:lastModifiedBy>
  <dcterms:modified xsi:type="dcterms:W3CDTF">2025-06-19T07:36:48Z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eyJoZGlkIjoiMmRmZDQxNDgxNjRkMWE0NTYxOTBjNzFjNTk4OWIyYmEiLCJ1c2VySWQiOiIyNzYyNjY3OTgifQ==</vt:lpwstr>
  </property>
  <property fmtid="{D5CDD505-2E9C-101B-9397-08002B2CF9AE}" pid="4" name="ICV">
    <vt:lpwstr>73FCF7836CB14FF6A27C448F66153D08_12</vt:lpwstr>
  </property>
</Properties>
</file>